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84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0688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200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1712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900" w:right="826" w:firstLine="0"/>
        <w:jc w:val="center"/>
        <w:rPr>
          <w:b/>
          <w:sz w:val="26"/>
        </w:rPr>
      </w:pPr>
      <w:r>
        <w:rPr>
          <w:b/>
          <w:sz w:val="26"/>
        </w:rPr>
        <w:t>ANTIMICROBIAL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SUSCEPTIBILITY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PATTERN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BACTERIA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ISOLATES FROM URINE OF URINARY TRACT INFECTION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PATIENTS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NORTHWEST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ETHIOPIA</w:t>
      </w:r>
    </w:p>
    <w:p>
      <w:pPr>
        <w:pStyle w:val="Heading1"/>
        <w:spacing w:line="269" w:lineRule="exact" w:before="0"/>
        <w:ind w:left="900" w:right="824"/>
        <w:jc w:val="center"/>
      </w:pPr>
      <w:r>
        <w:rPr>
          <w:vertAlign w:val="superscript"/>
        </w:rPr>
        <w:t>*1</w:t>
      </w:r>
      <w:r>
        <w:rPr>
          <w:vertAlign w:val="baseline"/>
        </w:rPr>
        <w:t>Yitayal</w:t>
      </w:r>
      <w:r>
        <w:rPr>
          <w:spacing w:val="-2"/>
          <w:vertAlign w:val="baseline"/>
        </w:rPr>
        <w:t> </w:t>
      </w:r>
      <w:r>
        <w:rPr>
          <w:vertAlign w:val="baseline"/>
        </w:rPr>
        <w:t>Shiferaw,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Wubet</w:t>
      </w:r>
      <w:r>
        <w:rPr>
          <w:spacing w:val="-2"/>
          <w:vertAlign w:val="baseline"/>
        </w:rPr>
        <w:t> </w:t>
      </w:r>
      <w:r>
        <w:rPr>
          <w:vertAlign w:val="baseline"/>
        </w:rPr>
        <w:t>Birhan,</w:t>
      </w:r>
      <w:r>
        <w:rPr>
          <w:spacing w:val="-2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Jafer</w:t>
      </w:r>
      <w:r>
        <w:rPr>
          <w:spacing w:val="-3"/>
          <w:vertAlign w:val="baseline"/>
        </w:rPr>
        <w:t> </w:t>
      </w:r>
      <w:r>
        <w:rPr>
          <w:vertAlign w:val="baseline"/>
        </w:rPr>
        <w:t>Kezali</w:t>
      </w:r>
    </w:p>
    <w:p>
      <w:pPr>
        <w:spacing w:line="276" w:lineRule="auto" w:before="43"/>
        <w:ind w:left="1123" w:right="1044" w:hanging="6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Department of Microbiology, School of Biomedical and Laboratory Science,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Gondar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Science,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line="276" w:lineRule="auto" w:before="0"/>
        <w:ind w:left="1020" w:right="946" w:firstLine="2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 of Immunology, School of Biomedical and Laboratory Science,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University of Gondar College of Medicine and Health Science, Gondar, Ethiopia.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Department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Laboratory,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Biomedical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Laboratory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Science,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Gondar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Science,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pStyle w:val="BodyText"/>
        <w:spacing w:before="8"/>
        <w:rPr>
          <w:sz w:val="18"/>
        </w:rPr>
      </w:pPr>
      <w:r>
        <w:rPr/>
        <w:pict>
          <v:group style="position:absolute;margin-left:72.599998pt;margin-top:12.745416pt;width:450.05pt;height:1.3pt;mso-position-horizontal-relative:page;mso-position-vertical-relative:paragraph;z-index:-15727616;mso-wrap-distance-left:0;mso-wrap-distance-right:0" coordorigin="1452,255" coordsize="9001,26">
            <v:line style="position:absolute" from="1452,273" to="10452,273" stroked="true" strokeweight=".756pt" strokecolor="#000000">
              <v:stroke dashstyle="solid"/>
            </v:line>
            <v:rect style="position:absolute;left:1452;top:254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00" w:right="115"/>
        <w:jc w:val="both"/>
      </w:pPr>
      <w:r>
        <w:rPr/>
        <w:t>Urinary tract infection continues to be an important public health problem worldwide in terms of both morbidity</w:t>
      </w:r>
      <w:r>
        <w:rPr>
          <w:spacing w:val="-47"/>
        </w:rPr>
        <w:t> </w:t>
      </w:r>
      <w:r>
        <w:rPr/>
        <w:t>and mortality. Nowadays urinary pathogenic agents which were susceptible to common antibiotics became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gradually.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widespread use of antimicrobial drugs, the types of the pathogenic organism and their antibiotic susceptibility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changed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making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periodic</w:t>
      </w:r>
      <w:r>
        <w:rPr>
          <w:spacing w:val="1"/>
        </w:rPr>
        <w:t> </w:t>
      </w:r>
      <w:r>
        <w:rPr/>
        <w:t>surveillance</w:t>
      </w:r>
      <w:r>
        <w:rPr>
          <w:spacing w:val="1"/>
        </w:rPr>
        <w:t> </w:t>
      </w:r>
      <w:r>
        <w:rPr/>
        <w:t>necessarily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guiding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antimicrobial therapy</w:t>
      </w:r>
      <w:r>
        <w:rPr>
          <w:spacing w:val="1"/>
        </w:rPr>
        <w:t> </w:t>
      </w:r>
      <w:r>
        <w:rPr/>
        <w:t>Therefore, this study was carried out to determine the bacterial profile and their antibiotic</w:t>
      </w:r>
      <w:r>
        <w:rPr>
          <w:spacing w:val="1"/>
        </w:rPr>
        <w:t> </w:t>
      </w:r>
      <w:r>
        <w:rPr/>
        <w:t>susceptibility pattern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suspected</w:t>
      </w:r>
      <w:r>
        <w:rPr>
          <w:spacing w:val="1"/>
        </w:rPr>
        <w:t> </w:t>
      </w:r>
      <w:r>
        <w:rPr/>
        <w:t>cases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urinary</w:t>
      </w:r>
      <w:r>
        <w:rPr>
          <w:spacing w:val="1"/>
        </w:rPr>
        <w:t> </w:t>
      </w:r>
      <w:r>
        <w:rPr/>
        <w:t>tract</w:t>
      </w:r>
      <w:r>
        <w:rPr>
          <w:spacing w:val="1"/>
        </w:rPr>
        <w:t> </w:t>
      </w:r>
      <w:r>
        <w:rPr/>
        <w:t>infections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Gondar</w:t>
      </w:r>
      <w:r>
        <w:rPr>
          <w:spacing w:val="1"/>
        </w:rPr>
        <w:t> </w:t>
      </w:r>
      <w:r>
        <w:rPr/>
        <w:t>teaching hospital Northwest</w:t>
      </w:r>
      <w:r>
        <w:rPr>
          <w:spacing w:val="50"/>
        </w:rPr>
        <w:t> </w:t>
      </w:r>
      <w:r>
        <w:rPr/>
        <w:t>Ethiopia. A total of 975 urinary tract infections suspected patients were recruited</w:t>
      </w:r>
      <w:r>
        <w:rPr>
          <w:spacing w:val="1"/>
        </w:rPr>
        <w:t> </w:t>
      </w:r>
      <w:r>
        <w:rPr/>
        <w:t>for this study. Clean catch midstream urine was collected into sterile universal containers and were examined</w:t>
      </w:r>
      <w:r>
        <w:rPr>
          <w:spacing w:val="1"/>
        </w:rPr>
        <w:t> </w:t>
      </w:r>
      <w:r>
        <w:rPr/>
        <w:t>using culture. Of 975 urinary tract infections suspected patients, 250(25.6%) were positive for significant</w:t>
      </w:r>
      <w:r>
        <w:rPr>
          <w:spacing w:val="1"/>
        </w:rPr>
        <w:t> </w:t>
      </w:r>
      <w:r>
        <w:rPr/>
        <w:t>bacteriuria. </w:t>
      </w:r>
      <w:r>
        <w:rPr>
          <w:color w:val="231F1F"/>
        </w:rPr>
        <w:t>Escherichia coli </w:t>
      </w:r>
      <w:r>
        <w:rPr/>
        <w:t>was the most predominant gram negative bacteria and </w:t>
      </w:r>
      <w:r>
        <w:rPr>
          <w:color w:val="231F1F"/>
        </w:rPr>
        <w:t>Staphylococcus aureus from</w:t>
      </w:r>
      <w:r>
        <w:rPr>
          <w:color w:val="231F1F"/>
          <w:spacing w:val="1"/>
        </w:rPr>
        <w:t> </w:t>
      </w:r>
      <w:r>
        <w:rPr>
          <w:color w:val="231F1F"/>
        </w:rPr>
        <w:t>gram positive bacteria. </w:t>
      </w:r>
      <w:r>
        <w:rPr/>
        <w:t>All isolates of Gram negative bacteria and most Gram-positives (85.1%) isolates showed</w:t>
      </w:r>
      <w:r>
        <w:rPr>
          <w:spacing w:val="-47"/>
        </w:rPr>
        <w:t> </w:t>
      </w:r>
      <w:r>
        <w:rPr/>
        <w:t>multiple drug resistance. Chloramphenicol (62.3%), ciprofloxacin (50.9%) and norfloxacin (50%) were effective</w:t>
      </w:r>
      <w:r>
        <w:rPr>
          <w:spacing w:val="-47"/>
        </w:rPr>
        <w:t> </w:t>
      </w:r>
      <w:r>
        <w:rPr/>
        <w:t>drugs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color w:val="231F1F"/>
        </w:rPr>
        <w:t>Escherichia</w:t>
      </w:r>
      <w:r>
        <w:rPr>
          <w:color w:val="231F1F"/>
          <w:spacing w:val="1"/>
        </w:rPr>
        <w:t> </w:t>
      </w:r>
      <w:r>
        <w:rPr>
          <w:color w:val="231F1F"/>
        </w:rPr>
        <w:t>coli</w:t>
      </w:r>
      <w:r>
        <w:rPr>
          <w:color w:val="231F1F"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(61.9%)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ampicilline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norfloxacin</w:t>
      </w:r>
      <w:r>
        <w:rPr>
          <w:spacing w:val="1"/>
        </w:rPr>
        <w:t> </w:t>
      </w:r>
      <w:r>
        <w:rPr/>
        <w:t>(57.1%)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>
          <w:color w:val="231F1F"/>
        </w:rPr>
        <w:t>Staphylococcus</w:t>
      </w:r>
      <w:r>
        <w:rPr>
          <w:color w:val="231F1F"/>
          <w:spacing w:val="1"/>
        </w:rPr>
        <w:t> </w:t>
      </w:r>
      <w:r>
        <w:rPr>
          <w:color w:val="231F1F"/>
        </w:rPr>
        <w:t>aureus</w:t>
      </w:r>
      <w:r>
        <w:rPr>
          <w:color w:val="231F1F"/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bacteriuria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comparable</w:t>
      </w:r>
      <w:r>
        <w:rPr>
          <w:spacing w:val="50"/>
        </w:rPr>
        <w:t> </w:t>
      </w:r>
      <w:r>
        <w:rPr/>
        <w:t>to</w:t>
      </w:r>
      <w:r>
        <w:rPr>
          <w:spacing w:val="-47"/>
        </w:rPr>
        <w:t> </w:t>
      </w:r>
      <w:r>
        <w:rPr/>
        <w:t>pervious similar study. However, most current isolates were resistant to multiple drugs and the effectiveness of</w:t>
      </w:r>
      <w:r>
        <w:rPr>
          <w:spacing w:val="1"/>
        </w:rPr>
        <w:t> </w:t>
      </w:r>
      <w:r>
        <w:rPr/>
        <w:t>most</w:t>
      </w:r>
      <w:r>
        <w:rPr>
          <w:spacing w:val="-1"/>
        </w:rPr>
        <w:t> </w:t>
      </w:r>
      <w:r>
        <w:rPr/>
        <w:t>drugs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ciprofloxacin,</w:t>
      </w:r>
      <w:r>
        <w:rPr>
          <w:spacing w:val="5"/>
        </w:rPr>
        <w:t> </w:t>
      </w:r>
      <w:r>
        <w:rPr/>
        <w:t>amoxicillin, erythromycin</w:t>
      </w:r>
      <w:r>
        <w:rPr>
          <w:spacing w:val="3"/>
        </w:rPr>
        <w:t> </w:t>
      </w:r>
      <w:r>
        <w:rPr/>
        <w:t>were</w:t>
      </w:r>
      <w:r>
        <w:rPr>
          <w:spacing w:val="-1"/>
        </w:rPr>
        <w:t> </w:t>
      </w:r>
      <w:r>
        <w:rPr/>
        <w:t>reduced.</w:t>
      </w:r>
    </w:p>
    <w:p>
      <w:pPr>
        <w:pStyle w:val="BodyText"/>
        <w:rPr>
          <w:sz w:val="21"/>
        </w:rPr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Antimicrobial,</w:t>
      </w:r>
      <w:r>
        <w:rPr>
          <w:spacing w:val="-5"/>
        </w:rPr>
        <w:t> </w:t>
      </w:r>
      <w:r>
        <w:rPr/>
        <w:t>Susceptibility,</w:t>
      </w:r>
      <w:r>
        <w:rPr>
          <w:spacing w:val="-4"/>
        </w:rPr>
        <w:t> </w:t>
      </w:r>
      <w:r>
        <w:rPr/>
        <w:t>Urinary</w:t>
      </w:r>
      <w:r>
        <w:rPr>
          <w:spacing w:val="-8"/>
        </w:rPr>
        <w:t> </w:t>
      </w:r>
      <w:r>
        <w:rPr/>
        <w:t>tract</w:t>
      </w:r>
      <w:r>
        <w:rPr>
          <w:spacing w:val="-4"/>
        </w:rPr>
        <w:t> </w:t>
      </w:r>
      <w:r>
        <w:rPr/>
        <w:t>infection,</w:t>
      </w:r>
      <w:r>
        <w:rPr>
          <w:spacing w:val="-4"/>
        </w:rPr>
        <w:t> </w:t>
      </w:r>
      <w:r>
        <w:rPr/>
        <w:t>Ethiopia.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418149pt;width:450.05pt;height:1.3pt;mso-position-horizontal-relative:page;mso-position-vertical-relative:paragraph;z-index:-15727104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00"/>
      </w:pPr>
      <w:r>
        <w:rPr/>
        <w:t>Yitayal</w:t>
      </w:r>
      <w:r>
        <w:rPr>
          <w:spacing w:val="-5"/>
        </w:rPr>
        <w:t> </w:t>
      </w:r>
      <w:r>
        <w:rPr/>
        <w:t>Shiferaw,</w:t>
      </w:r>
    </w:p>
    <w:p>
      <w:pPr>
        <w:pStyle w:val="BodyText"/>
        <w:spacing w:line="278" w:lineRule="auto" w:before="34"/>
        <w:ind w:left="200" w:right="2202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Microbiology,</w:t>
      </w:r>
      <w:r>
        <w:rPr>
          <w:spacing w:val="-2"/>
        </w:rPr>
        <w:t> </w:t>
      </w: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Biomedical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Laboratory</w:t>
      </w:r>
      <w:r>
        <w:rPr>
          <w:spacing w:val="-7"/>
        </w:rPr>
        <w:t> </w:t>
      </w:r>
      <w:r>
        <w:rPr/>
        <w:t>Science,</w:t>
      </w:r>
      <w:r>
        <w:rPr>
          <w:spacing w:val="-47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Gondar College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and Health</w:t>
      </w:r>
      <w:r>
        <w:rPr>
          <w:spacing w:val="-1"/>
        </w:rPr>
        <w:t> </w:t>
      </w:r>
      <w:r>
        <w:rPr/>
        <w:t>Science,</w:t>
      </w:r>
    </w:p>
    <w:p>
      <w:pPr>
        <w:pStyle w:val="BodyText"/>
        <w:spacing w:line="227" w:lineRule="exact"/>
        <w:ind w:left="200"/>
      </w:pPr>
      <w:r>
        <w:rPr/>
        <w:t>Po.Box.196,</w:t>
      </w:r>
      <w:r>
        <w:rPr>
          <w:spacing w:val="-4"/>
        </w:rPr>
        <w:t> </w:t>
      </w:r>
      <w:r>
        <w:rPr/>
        <w:t>Gondar,</w:t>
      </w:r>
      <w:r>
        <w:rPr>
          <w:spacing w:val="-3"/>
        </w:rPr>
        <w:t> </w:t>
      </w:r>
      <w:r>
        <w:rPr/>
        <w:t>Ethiopia.</w:t>
      </w:r>
    </w:p>
    <w:p>
      <w:pPr>
        <w:pStyle w:val="BodyText"/>
        <w:spacing w:before="34"/>
        <w:ind w:left="200"/>
      </w:pPr>
      <w:r>
        <w:rPr/>
        <w:t>Email</w:t>
      </w:r>
      <w:r>
        <w:rPr>
          <w:spacing w:val="-7"/>
        </w:rPr>
        <w:t> </w:t>
      </w:r>
      <w:r>
        <w:rPr/>
        <w:t>ID:</w:t>
      </w:r>
      <w:r>
        <w:rPr>
          <w:spacing w:val="-5"/>
        </w:rPr>
        <w:t> </w:t>
      </w:r>
      <w:hyperlink r:id="rId7">
        <w:r>
          <w:rPr/>
          <w:t>yitayalshiferaw@yahoo.co.uk</w:t>
        </w:r>
      </w:hyperlink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2"/>
      </w:pPr>
      <w:r>
        <w:rPr/>
        <w:t>Introduction</w:t>
      </w:r>
    </w:p>
    <w:p>
      <w:pPr>
        <w:spacing w:line="272" w:lineRule="exact" w:before="73"/>
        <w:ind w:left="0" w:right="119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85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[84 -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91]</w:t>
      </w:r>
    </w:p>
    <w:p>
      <w:pPr>
        <w:spacing w:after="0" w:line="226" w:lineRule="exact"/>
        <w:jc w:val="left"/>
        <w:rPr>
          <w:rFonts w:ascii="Palatino Linotype" w:hAnsi="Palatino Linotype"/>
          <w:sz w:val="17"/>
        </w:rPr>
        <w:sectPr>
          <w:footerReference w:type="default" r:id="rId8"/>
          <w:pgSz w:w="11910" w:h="16840"/>
          <w:pgMar w:footer="748" w:header="0" w:top="620" w:bottom="940" w:left="1240" w:right="1320"/>
          <w:cols w:num="2" w:equalWidth="0">
            <w:col w:w="1440" w:space="283"/>
            <w:col w:w="7627"/>
          </w:cols>
        </w:sectPr>
      </w:pPr>
    </w:p>
    <w:p>
      <w:pPr>
        <w:pStyle w:val="BodyText"/>
        <w:spacing w:line="276" w:lineRule="auto" w:before="35"/>
        <w:ind w:left="200" w:right="38"/>
        <w:jc w:val="both"/>
      </w:pPr>
      <w:r>
        <w:rPr/>
        <w:t>Urinary tract</w:t>
      </w:r>
      <w:r>
        <w:rPr>
          <w:spacing w:val="1"/>
        </w:rPr>
        <w:t> </w:t>
      </w:r>
      <w:r>
        <w:rPr/>
        <w:t>infection (UTI)</w:t>
      </w:r>
      <w:r>
        <w:rPr>
          <w:spacing w:val="1"/>
        </w:rPr>
        <w:t> </w:t>
      </w:r>
      <w:r>
        <w:rPr/>
        <w:t>continues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worldwide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morbidity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mortality.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microorganisms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infect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urinary</w:t>
      </w:r>
      <w:r>
        <w:rPr>
          <w:spacing w:val="1"/>
        </w:rPr>
        <w:t> </w:t>
      </w:r>
      <w:r>
        <w:rPr/>
        <w:t>tract but by far the most common agents are the</w:t>
      </w:r>
      <w:r>
        <w:rPr>
          <w:spacing w:val="1"/>
        </w:rPr>
        <w:t> </w:t>
      </w:r>
      <w:r>
        <w:rPr/>
        <w:t>gram-negative</w:t>
      </w:r>
      <w:r>
        <w:rPr>
          <w:spacing w:val="1"/>
        </w:rPr>
        <w:t> </w:t>
      </w:r>
      <w:r>
        <w:rPr/>
        <w:t>bacilli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>
          <w:i/>
        </w:rPr>
        <w:t>Escherichia</w:t>
      </w:r>
      <w:r>
        <w:rPr>
          <w:i/>
          <w:spacing w:val="1"/>
        </w:rPr>
        <w:t> </w:t>
      </w:r>
      <w:r>
        <w:rPr>
          <w:i/>
        </w:rPr>
        <w:t>coli</w:t>
      </w:r>
      <w:r>
        <w:rPr>
          <w:i/>
          <w:spacing w:val="50"/>
        </w:rPr>
        <w:t> </w:t>
      </w:r>
      <w:r>
        <w:rPr/>
        <w:t>are</w:t>
      </w:r>
      <w:r>
        <w:rPr>
          <w:spacing w:val="-47"/>
        </w:rPr>
        <w:t> </w:t>
      </w:r>
      <w:r>
        <w:rPr/>
        <w:t>the predominant one although the distribution of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UTI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changing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urinary tract infections are initiated by 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gain entrance from the natural environment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bladder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urethra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women</w:t>
      </w:r>
      <w:r>
        <w:rPr>
          <w:spacing w:val="-1"/>
          <w:vertAlign w:val="baseline"/>
        </w:rPr>
        <w:t> </w:t>
      </w:r>
      <w:r>
        <w:rPr>
          <w:vertAlign w:val="baseline"/>
        </w:rPr>
        <w:t>than men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43"/>
        <w:jc w:val="both"/>
      </w:pPr>
      <w:r>
        <w:rPr/>
        <w:t>Bacteriuria can be divided into two: Asymptomatic</w:t>
      </w:r>
      <w:r>
        <w:rPr>
          <w:spacing w:val="1"/>
        </w:rPr>
        <w:t> </w:t>
      </w:r>
      <w:r>
        <w:rPr/>
        <w:t>bacteriuria (It is a condition in which urine culture</w:t>
      </w:r>
      <w:r>
        <w:rPr>
          <w:spacing w:val="1"/>
        </w:rPr>
        <w:t> </w:t>
      </w:r>
      <w:r>
        <w:rPr/>
        <w:t>reveals a significant growth of pathogens that is</w:t>
      </w:r>
      <w:r>
        <w:rPr>
          <w:spacing w:val="1"/>
        </w:rPr>
        <w:t> </w:t>
      </w:r>
      <w:r>
        <w:rPr/>
        <w:t>greater than 10</w:t>
      </w:r>
      <w:r>
        <w:rPr>
          <w:vertAlign w:val="superscript"/>
        </w:rPr>
        <w:t>5</w:t>
      </w:r>
      <w:r>
        <w:rPr>
          <w:vertAlign w:val="baseline"/>
        </w:rPr>
        <w:t> bacteria/ml, but without the patient</w:t>
      </w:r>
      <w:r>
        <w:rPr>
          <w:spacing w:val="-47"/>
          <w:vertAlign w:val="baseline"/>
        </w:rPr>
        <w:t> </w:t>
      </w:r>
      <w:r>
        <w:rPr>
          <w:vertAlign w:val="baseline"/>
        </w:rPr>
        <w:t>showing symptoms of urinary tract infection (UTI))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symptomatic bacteriuria (UTI was diagnosed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fever</w:t>
      </w:r>
      <w:r>
        <w:rPr>
          <w:spacing w:val="1"/>
          <w:vertAlign w:val="baseline"/>
        </w:rPr>
        <w:t> </w:t>
      </w:r>
      <w:r>
        <w:rPr>
          <w:vertAlign w:val="baseline"/>
        </w:rPr>
        <w:t>(&gt;38°C),</w:t>
      </w:r>
      <w:r>
        <w:rPr>
          <w:spacing w:val="1"/>
          <w:vertAlign w:val="baseline"/>
        </w:rPr>
        <w:t> </w:t>
      </w:r>
      <w:r>
        <w:rPr>
          <w:vertAlign w:val="baseline"/>
        </w:rPr>
        <w:t>urgency,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frequency, dysuria, or suprapubic tenderness and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-2"/>
          <w:vertAlign w:val="baseline"/>
        </w:rPr>
        <w:t> </w:t>
      </w:r>
      <w:r>
        <w:rPr>
          <w:vertAlign w:val="baseline"/>
        </w:rPr>
        <w:t>urine</w:t>
      </w:r>
      <w:r>
        <w:rPr>
          <w:spacing w:val="-1"/>
          <w:vertAlign w:val="baseline"/>
        </w:rPr>
        <w:t> </w:t>
      </w:r>
      <w:r>
        <w:rPr>
          <w:vertAlign w:val="baseline"/>
        </w:rPr>
        <w:t>culture, i.e.</w:t>
      </w:r>
      <w:r>
        <w:rPr>
          <w:spacing w:val="2"/>
          <w:vertAlign w:val="baseline"/>
        </w:rPr>
        <w:t> </w:t>
      </w:r>
      <w:r>
        <w:rPr>
          <w:vertAlign w:val="baseline"/>
        </w:rPr>
        <w:t>≥ 105cfu</w:t>
      </w:r>
      <w:r>
        <w:rPr>
          <w:spacing w:val="-2"/>
          <w:vertAlign w:val="baseline"/>
        </w:rPr>
        <w:t> </w:t>
      </w:r>
      <w:r>
        <w:rPr>
          <w:vertAlign w:val="baseline"/>
        </w:rPr>
        <w:t>/</w:t>
      </w:r>
      <w:r>
        <w:rPr>
          <w:spacing w:val="1"/>
          <w:vertAlign w:val="baseline"/>
        </w:rPr>
        <w:t> </w:t>
      </w:r>
      <w:r>
        <w:rPr>
          <w:vertAlign w:val="baseline"/>
        </w:rPr>
        <w:t>ml)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40"/>
        <w:jc w:val="both"/>
      </w:pPr>
      <w:r>
        <w:rPr/>
        <w:t>Studies in different part of the world indicated the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UTI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stays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high.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that</w:t>
      </w:r>
      <w:r>
        <w:rPr>
          <w:spacing w:val="-47"/>
        </w:rPr>
        <w:t> </w:t>
      </w:r>
      <w:r>
        <w:rPr/>
        <w:t>symptomatic urinary tract infections occurs in as</w:t>
      </w:r>
      <w:r>
        <w:rPr>
          <w:spacing w:val="1"/>
        </w:rPr>
        <w:t> </w:t>
      </w:r>
      <w:r>
        <w:rPr/>
        <w:t>many as 7 million visits to emergency units and</w:t>
      </w:r>
      <w:r>
        <w:rPr>
          <w:spacing w:val="1"/>
        </w:rPr>
        <w:t> </w:t>
      </w:r>
      <w:r>
        <w:rPr/>
        <w:t>100,000</w:t>
      </w:r>
      <w:r>
        <w:rPr>
          <w:spacing w:val="1"/>
        </w:rPr>
        <w:t> </w:t>
      </w:r>
      <w:r>
        <w:rPr/>
        <w:t>hospitalizations</w:t>
      </w:r>
      <w:r>
        <w:rPr>
          <w:spacing w:val="1"/>
        </w:rPr>
        <w:t> </w:t>
      </w:r>
      <w:r>
        <w:rPr/>
        <w:t>annually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USA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Similarly in Sweden the occurrence of first time</w:t>
      </w:r>
      <w:r>
        <w:rPr>
          <w:spacing w:val="1"/>
          <w:vertAlign w:val="baseline"/>
        </w:rPr>
        <w:t> </w:t>
      </w:r>
      <w:r>
        <w:rPr>
          <w:vertAlign w:val="baseline"/>
        </w:rPr>
        <w:t>symptomatic UTIs are highest for both boys and</w:t>
      </w:r>
      <w:r>
        <w:rPr>
          <w:spacing w:val="1"/>
          <w:vertAlign w:val="baseline"/>
        </w:rPr>
        <w:t> </w:t>
      </w:r>
      <w:r>
        <w:rPr>
          <w:vertAlign w:val="baseline"/>
        </w:rPr>
        <w:t>girls. The minimum cumulative incidence in both</w:t>
      </w:r>
      <w:r>
        <w:rPr>
          <w:spacing w:val="1"/>
          <w:vertAlign w:val="baseline"/>
        </w:rPr>
        <w:t> </w:t>
      </w:r>
      <w:r>
        <w:rPr>
          <w:vertAlign w:val="baseline"/>
        </w:rPr>
        <w:t>boys and girls aged two years is slightly over 2%</w:t>
      </w:r>
      <w:r>
        <w:rPr>
          <w:spacing w:val="1"/>
          <w:vertAlign w:val="baseline"/>
        </w:rPr>
        <w:t> </w:t>
      </w:r>
      <w:r>
        <w:rPr>
          <w:vertAlign w:val="baseline"/>
        </w:rPr>
        <w:t>and the cumulative incidence of symptomatic UTI</w:t>
      </w:r>
      <w:r>
        <w:rPr>
          <w:spacing w:val="1"/>
          <w:vertAlign w:val="baseline"/>
        </w:rPr>
        <w:t> </w:t>
      </w:r>
      <w:r>
        <w:rPr>
          <w:vertAlign w:val="baseline"/>
        </w:rPr>
        <w:t>in boys during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first 10</w:t>
      </w:r>
      <w:r>
        <w:rPr>
          <w:spacing w:val="50"/>
          <w:vertAlign w:val="baseline"/>
        </w:rPr>
        <w:t> </w:t>
      </w:r>
      <w:r>
        <w:rPr>
          <w:vertAlign w:val="baseline"/>
        </w:rPr>
        <w:t>years of</w:t>
      </w:r>
      <w:r>
        <w:rPr>
          <w:spacing w:val="50"/>
          <w:vertAlign w:val="baseline"/>
        </w:rPr>
        <w:t> </w:t>
      </w:r>
      <w:r>
        <w:rPr>
          <w:vertAlign w:val="baseline"/>
        </w:rPr>
        <w:t>life is 1.1</w:t>
      </w:r>
      <w:r>
        <w:rPr>
          <w:spacing w:val="50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1.6 %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39"/>
        <w:jc w:val="both"/>
      </w:pPr>
      <w:r>
        <w:rPr/>
        <w:t>UTIs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serious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many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Ethiopia.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reporting</w:t>
      </w:r>
      <w:r>
        <w:rPr>
          <w:spacing w:val="1"/>
        </w:rPr>
        <w:t> </w:t>
      </w:r>
      <w:r>
        <w:rPr/>
        <w:t>rates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UTIs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in range</w:t>
      </w:r>
      <w:r>
        <w:rPr>
          <w:spacing w:val="1"/>
        </w:rPr>
        <w:t> </w:t>
      </w:r>
      <w:r>
        <w:rPr/>
        <w:t>of 29.1%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39.5%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 of multiple drug resistant strains becomes</w:t>
      </w:r>
      <w:r>
        <w:rPr>
          <w:spacing w:val="1"/>
        </w:rPr>
        <w:t> </w:t>
      </w:r>
      <w:r>
        <w:rPr/>
        <w:t>increased</w:t>
      </w:r>
      <w:r>
        <w:rPr>
          <w:vertAlign w:val="superscript"/>
        </w:rPr>
        <w:t>6-8</w:t>
      </w:r>
      <w:r>
        <w:rPr>
          <w:vertAlign w:val="baseline"/>
        </w:rPr>
        <w:t>. Nowadays urinary pathogenic agents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susceptible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</w:t>
      </w:r>
      <w:r>
        <w:rPr>
          <w:spacing w:val="1"/>
          <w:vertAlign w:val="baseline"/>
        </w:rPr>
        <w:t> </w:t>
      </w:r>
      <w:r>
        <w:rPr>
          <w:vertAlign w:val="baseline"/>
        </w:rPr>
        <w:t>became resistance and their number also 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gradually. According to the National Nosocomial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 Surveillance (NNIS) System report, in</w:t>
      </w:r>
      <w:r>
        <w:rPr>
          <w:spacing w:val="1"/>
          <w:vertAlign w:val="baseline"/>
        </w:rPr>
        <w:t> </w:t>
      </w:r>
      <w:r>
        <w:rPr>
          <w:vertAlign w:val="baseline"/>
        </w:rPr>
        <w:t>2003, 20.6% of all </w:t>
      </w:r>
      <w:r>
        <w:rPr>
          <w:i/>
          <w:vertAlign w:val="baseline"/>
        </w:rPr>
        <w:t>Klebsiella species </w:t>
      </w:r>
      <w:r>
        <w:rPr>
          <w:vertAlign w:val="baseline"/>
        </w:rPr>
        <w:t>isolates from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 in intensive care units (ICUs) in the United</w:t>
      </w:r>
      <w:r>
        <w:rPr>
          <w:spacing w:val="-47"/>
          <w:vertAlign w:val="baseline"/>
        </w:rPr>
        <w:t> </w:t>
      </w:r>
      <w:r>
        <w:rPr>
          <w:vertAlign w:val="baseline"/>
        </w:rPr>
        <w:t>States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non</w:t>
      </w:r>
      <w:r>
        <w:rPr>
          <w:spacing w:val="1"/>
          <w:vertAlign w:val="baseline"/>
        </w:rPr>
        <w:t> </w:t>
      </w:r>
      <w:r>
        <w:rPr>
          <w:vertAlign w:val="baseline"/>
        </w:rPr>
        <w:t>susceptible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third-generation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cephalosporin.</w:t>
      </w:r>
      <w:r>
        <w:rPr>
          <w:spacing w:val="16"/>
          <w:vertAlign w:val="baseline"/>
        </w:rPr>
        <w:t> </w:t>
      </w:r>
      <w:r>
        <w:rPr>
          <w:vertAlign w:val="baseline"/>
        </w:rPr>
        <w:t>This</w:t>
      </w:r>
      <w:r>
        <w:rPr>
          <w:spacing w:val="14"/>
          <w:vertAlign w:val="baseline"/>
        </w:rPr>
        <w:t> </w:t>
      </w:r>
      <w:r>
        <w:rPr>
          <w:vertAlign w:val="baseline"/>
        </w:rPr>
        <w:t>represented</w:t>
      </w:r>
      <w:r>
        <w:rPr>
          <w:spacing w:val="16"/>
          <w:vertAlign w:val="baseline"/>
        </w:rPr>
        <w:t> </w:t>
      </w:r>
      <w:r>
        <w:rPr>
          <w:vertAlign w:val="baseline"/>
        </w:rPr>
        <w:t>a</w:t>
      </w:r>
      <w:r>
        <w:rPr>
          <w:spacing w:val="15"/>
          <w:vertAlign w:val="baseline"/>
        </w:rPr>
        <w:t> </w:t>
      </w:r>
      <w:r>
        <w:rPr>
          <w:vertAlign w:val="baseline"/>
        </w:rPr>
        <w:t>47%</w:t>
      </w:r>
      <w:r>
        <w:rPr>
          <w:spacing w:val="15"/>
          <w:vertAlign w:val="baseline"/>
        </w:rPr>
        <w:t> </w:t>
      </w:r>
      <w:r>
        <w:rPr>
          <w:vertAlign w:val="baseline"/>
        </w:rPr>
        <w:t>increase</w:t>
      </w:r>
    </w:p>
    <w:p>
      <w:pPr>
        <w:pStyle w:val="BodyText"/>
        <w:spacing w:line="276" w:lineRule="auto" w:before="35"/>
        <w:ind w:left="200" w:right="118"/>
        <w:jc w:val="both"/>
      </w:pPr>
      <w:r>
        <w:rPr/>
        <w:br w:type="column"/>
      </w:r>
      <w:r>
        <w:rPr/>
        <w:t>compared with resistance rates for 1998 to 2002.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third</w:t>
      </w:r>
      <w:r>
        <w:rPr>
          <w:spacing w:val="51"/>
        </w:rPr>
        <w:t> </w:t>
      </w:r>
      <w:r>
        <w:rPr/>
        <w:t>generation</w:t>
      </w:r>
      <w:r>
        <w:rPr>
          <w:spacing w:val="1"/>
        </w:rPr>
        <w:t> </w:t>
      </w:r>
      <w:r>
        <w:rPr/>
        <w:t>cephalosporin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31.1%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Enterobacter species </w:t>
      </w:r>
      <w:r>
        <w:rPr/>
        <w:t>and 5.8% of </w:t>
      </w:r>
      <w:r>
        <w:rPr>
          <w:i/>
          <w:color w:val="231F1F"/>
        </w:rPr>
        <w:t>Escherichia coli</w:t>
      </w:r>
      <w:r>
        <w:rPr>
          <w:i/>
          <w:color w:val="231F1F"/>
          <w:spacing w:val="1"/>
        </w:rPr>
        <w:t> </w:t>
      </w:r>
      <w:r>
        <w:rPr/>
        <w:t>isolated from</w:t>
      </w:r>
      <w:r>
        <w:rPr>
          <w:spacing w:val="-4"/>
        </w:rPr>
        <w:t> </w:t>
      </w:r>
      <w:r>
        <w:rPr/>
        <w:t>patients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ICUs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2003</w:t>
      </w:r>
      <w:r>
        <w:rPr>
          <w:vertAlign w:val="superscript"/>
        </w:rPr>
        <w:t>9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00" w:right="119"/>
        <w:jc w:val="both"/>
      </w:pPr>
      <w:r>
        <w:rPr/>
        <w:t>There are many factors in the tropical environment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resistance,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studies showing causal relationships exist. These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include:</w:t>
      </w:r>
      <w:r>
        <w:rPr>
          <w:spacing w:val="1"/>
        </w:rPr>
        <w:t> </w:t>
      </w:r>
      <w:r>
        <w:rPr/>
        <w:t>widespread</w:t>
      </w:r>
      <w:r>
        <w:rPr>
          <w:spacing w:val="1"/>
        </w:rPr>
        <w:t> </w:t>
      </w:r>
      <w:r>
        <w:rPr/>
        <w:t>availability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prescription antimicrobials, sub-optimal therapeutic</w:t>
      </w:r>
      <w:r>
        <w:rPr>
          <w:spacing w:val="-47"/>
        </w:rPr>
        <w:t> </w:t>
      </w:r>
      <w:r>
        <w:rPr/>
        <w:t>regimens,</w:t>
      </w:r>
      <w:r>
        <w:rPr>
          <w:spacing w:val="1"/>
        </w:rPr>
        <w:t> </w:t>
      </w:r>
      <w:r>
        <w:rPr/>
        <w:t>poly-antimicrobial</w:t>
      </w:r>
      <w:r>
        <w:rPr>
          <w:spacing w:val="1"/>
        </w:rPr>
        <w:t> </w:t>
      </w:r>
      <w:r>
        <w:rPr/>
        <w:t>therapy,</w:t>
      </w:r>
      <w:r>
        <w:rPr>
          <w:spacing w:val="1"/>
        </w:rPr>
        <w:t> </w:t>
      </w:r>
      <w:r>
        <w:rPr/>
        <w:t>lack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guide</w:t>
      </w:r>
      <w:r>
        <w:rPr>
          <w:spacing w:val="1"/>
        </w:rPr>
        <w:t> </w:t>
      </w:r>
      <w:r>
        <w:rPr/>
        <w:t>prescribing,</w:t>
      </w:r>
      <w:r>
        <w:rPr>
          <w:spacing w:val="1"/>
        </w:rPr>
        <w:t> </w:t>
      </w:r>
      <w:r>
        <w:rPr/>
        <w:t>mobile</w:t>
      </w:r>
      <w:r>
        <w:rPr>
          <w:spacing w:val="-47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genes,</w:t>
      </w:r>
      <w:r>
        <w:rPr>
          <w:spacing w:val="1"/>
        </w:rPr>
        <w:t> </w:t>
      </w:r>
      <w:r>
        <w:rPr/>
        <w:t>spread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strains in the community and spread of resistant</w:t>
      </w:r>
      <w:r>
        <w:rPr>
          <w:spacing w:val="1"/>
        </w:rPr>
        <w:t> </w:t>
      </w:r>
      <w:r>
        <w:rPr/>
        <w:t>strains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hospitals</w:t>
      </w:r>
      <w:r>
        <w:rPr>
          <w:vertAlign w:val="superscript"/>
        </w:rPr>
        <w:t>10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spacing w:line="276" w:lineRule="auto" w:before="0"/>
        <w:ind w:left="200" w:right="120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tropical</w:t>
      </w:r>
      <w:r>
        <w:rPr>
          <w:spacing w:val="1"/>
          <w:sz w:val="20"/>
        </w:rPr>
        <w:t> </w:t>
      </w:r>
      <w:r>
        <w:rPr>
          <w:sz w:val="20"/>
        </w:rPr>
        <w:t>countries,</w:t>
      </w:r>
      <w:r>
        <w:rPr>
          <w:spacing w:val="1"/>
          <w:sz w:val="20"/>
        </w:rPr>
        <w:t> </w:t>
      </w:r>
      <w:r>
        <w:rPr>
          <w:sz w:val="20"/>
        </w:rPr>
        <w:t>UTIs</w:t>
      </w:r>
      <w:r>
        <w:rPr>
          <w:spacing w:val="1"/>
          <w:sz w:val="20"/>
        </w:rPr>
        <w:t> </w:t>
      </w:r>
      <w:r>
        <w:rPr>
          <w:sz w:val="20"/>
        </w:rPr>
        <w:t>caused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1"/>
          <w:sz w:val="20"/>
        </w:rPr>
        <w:t> </w:t>
      </w:r>
      <w:r>
        <w:rPr>
          <w:sz w:val="20"/>
        </w:rPr>
        <w:t>associated with an increased antimicrobial resistant</w:t>
      </w:r>
      <w:r>
        <w:rPr>
          <w:spacing w:val="1"/>
          <w:sz w:val="20"/>
        </w:rPr>
        <w:t> </w:t>
      </w:r>
      <w:r>
        <w:rPr>
          <w:sz w:val="20"/>
        </w:rPr>
        <w:t>species in all age groups and emerging resistance in</w:t>
      </w:r>
      <w:r>
        <w:rPr>
          <w:spacing w:val="-47"/>
          <w:sz w:val="20"/>
        </w:rPr>
        <w:t> </w:t>
      </w:r>
      <w:r>
        <w:rPr>
          <w:i/>
          <w:sz w:val="20"/>
        </w:rPr>
        <w:t>Enterobacteriace </w:t>
      </w:r>
      <w:r>
        <w:rPr>
          <w:sz w:val="20"/>
        </w:rPr>
        <w:t>(major causative agents of UTI</w:t>
      </w:r>
      <w:r>
        <w:rPr>
          <w:spacing w:val="1"/>
          <w:sz w:val="20"/>
        </w:rPr>
        <w:t> </w:t>
      </w:r>
      <w:r>
        <w:rPr>
          <w:sz w:val="20"/>
        </w:rPr>
        <w:t>like</w:t>
      </w:r>
      <w:r>
        <w:rPr>
          <w:spacing w:val="12"/>
          <w:sz w:val="20"/>
        </w:rPr>
        <w:t> </w:t>
      </w:r>
      <w:r>
        <w:rPr>
          <w:i/>
          <w:color w:val="231F1F"/>
          <w:sz w:val="20"/>
        </w:rPr>
        <w:t>Escherichia</w:t>
      </w:r>
      <w:r>
        <w:rPr>
          <w:i/>
          <w:color w:val="231F1F"/>
          <w:spacing w:val="12"/>
          <w:sz w:val="20"/>
        </w:rPr>
        <w:t> </w:t>
      </w:r>
      <w:r>
        <w:rPr>
          <w:i/>
          <w:color w:val="231F1F"/>
          <w:sz w:val="20"/>
        </w:rPr>
        <w:t>coli</w:t>
      </w:r>
      <w:r>
        <w:rPr>
          <w:sz w:val="20"/>
        </w:rPr>
        <w:t>,</w:t>
      </w:r>
      <w:r>
        <w:rPr>
          <w:spacing w:val="12"/>
          <w:sz w:val="20"/>
        </w:rPr>
        <w:t> </w:t>
      </w:r>
      <w:r>
        <w:rPr>
          <w:i/>
          <w:sz w:val="20"/>
        </w:rPr>
        <w:t>Klebsiella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species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gram</w:t>
      </w:r>
    </w:p>
    <w:p>
      <w:pPr>
        <w:pStyle w:val="BodyText"/>
        <w:spacing w:line="276" w:lineRule="auto"/>
        <w:ind w:left="200" w:right="119"/>
        <w:jc w:val="both"/>
      </w:pPr>
      <w:r>
        <w:rPr/>
        <w:t>–positive cocci (like </w:t>
      </w:r>
      <w:r>
        <w:rPr>
          <w:i/>
          <w:color w:val="231F1F"/>
        </w:rPr>
        <w:t>Staphylococcus auerus) </w:t>
      </w:r>
      <w:r>
        <w:rPr/>
        <w:t>are 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attention</w:t>
      </w:r>
      <w:r>
        <w:rPr>
          <w:vertAlign w:val="superscript"/>
        </w:rPr>
        <w:t>11</w:t>
      </w:r>
      <w:r>
        <w:rPr>
          <w:vertAlign w:val="baseline"/>
        </w:rPr>
        <w:t>. Spread of resistant organisms that cause</w:t>
      </w:r>
      <w:r>
        <w:rPr>
          <w:spacing w:val="-47"/>
          <w:vertAlign w:val="baseline"/>
        </w:rPr>
        <w:t> </w:t>
      </w:r>
      <w:r>
        <w:rPr>
          <w:vertAlign w:val="baseline"/>
        </w:rPr>
        <w:t>UTIs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community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50"/>
          <w:vertAlign w:val="baseline"/>
        </w:rPr>
        <w:t> </w:t>
      </w:r>
      <w:r>
        <w:rPr>
          <w:vertAlign w:val="baseline"/>
        </w:rPr>
        <w:t>will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 the implementation of effective infection-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programmes.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personal,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hygiene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risks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contamination of the environment and equipment.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staff</w:t>
      </w:r>
      <w:r>
        <w:rPr>
          <w:spacing w:val="1"/>
          <w:vertAlign w:val="baseline"/>
        </w:rPr>
        <w:t> </w:t>
      </w:r>
      <w:r>
        <w:rPr>
          <w:vertAlign w:val="baseline"/>
        </w:rPr>
        <w:t>training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basic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infection-control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procedures and rational use of antibiotics will help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incidence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UTIs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resistant</w:t>
      </w:r>
      <w:r>
        <w:rPr>
          <w:spacing w:val="1"/>
          <w:vertAlign w:val="baseline"/>
        </w:rPr>
        <w:t> </w:t>
      </w:r>
      <w:r>
        <w:rPr>
          <w:vertAlign w:val="baseline"/>
        </w:rPr>
        <w:t>strains</w:t>
      </w:r>
      <w:r>
        <w:rPr>
          <w:vertAlign w:val="superscript"/>
        </w:rPr>
        <w:t>10</w:t>
      </w:r>
      <w:r>
        <w:rPr>
          <w:vertAlign w:val="baseline"/>
        </w:rPr>
        <w:t>. To achieve these up-to-date and continual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show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distribution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etiological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agents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UTIs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-2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-2"/>
          <w:vertAlign w:val="baseline"/>
        </w:rPr>
        <w:t> </w:t>
      </w:r>
      <w:r>
        <w:rPr>
          <w:vertAlign w:val="baseline"/>
        </w:rPr>
        <w:t>susceptibility</w:t>
      </w:r>
      <w:r>
        <w:rPr>
          <w:spacing w:val="-6"/>
          <w:vertAlign w:val="baseline"/>
        </w:rPr>
        <w:t> </w:t>
      </w:r>
      <w:r>
        <w:rPr>
          <w:vertAlign w:val="baseline"/>
        </w:rPr>
        <w:t>pattern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crucial.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00" w:right="121"/>
        <w:jc w:val="both"/>
      </w:pPr>
      <w:r>
        <w:rPr/>
        <w:t>In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published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concerning the antibiotic susceptibility pattern of</w:t>
      </w:r>
      <w:r>
        <w:rPr>
          <w:spacing w:val="1"/>
        </w:rPr>
        <w:t> </w:t>
      </w:r>
      <w:r>
        <w:rPr/>
        <w:t>UTI causing bacteria. It has been shown that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widespread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pathogenic</w:t>
      </w:r>
      <w:r>
        <w:rPr>
          <w:spacing w:val="-47"/>
        </w:rPr>
        <w:t> </w:t>
      </w:r>
      <w:r>
        <w:rPr/>
        <w:t>organism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changed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time</w:t>
      </w:r>
      <w:r>
        <w:rPr>
          <w:vertAlign w:val="superscript"/>
        </w:rPr>
        <w:t>12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making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continuous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periodic</w:t>
      </w:r>
      <w:r>
        <w:rPr>
          <w:spacing w:val="1"/>
          <w:vertAlign w:val="baseline"/>
        </w:rPr>
        <w:t> </w:t>
      </w:r>
      <w:r>
        <w:rPr>
          <w:vertAlign w:val="baseline"/>
        </w:rPr>
        <w:t>surveillance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necessarily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guiding</w:t>
      </w:r>
      <w:r>
        <w:rPr>
          <w:spacing w:val="1"/>
          <w:vertAlign w:val="baseline"/>
        </w:rPr>
        <w:t> </w:t>
      </w:r>
      <w:r>
        <w:rPr>
          <w:vertAlign w:val="baseline"/>
        </w:rPr>
        <w:t>appropriate antimicrobial therapy. To readdress this</w:t>
      </w:r>
      <w:r>
        <w:rPr>
          <w:spacing w:val="-47"/>
          <w:vertAlign w:val="baseline"/>
        </w:rPr>
        <w:t> </w:t>
      </w:r>
      <w:r>
        <w:rPr>
          <w:vertAlign w:val="baseline"/>
        </w:rPr>
        <w:t>situation this study was conducted to identify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commonest</w:t>
      </w:r>
      <w:r>
        <w:rPr>
          <w:spacing w:val="45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47"/>
          <w:vertAlign w:val="baseline"/>
        </w:rPr>
        <w:t> </w:t>
      </w:r>
      <w:r>
        <w:rPr>
          <w:vertAlign w:val="baseline"/>
        </w:rPr>
        <w:t>agents</w:t>
      </w:r>
      <w:r>
        <w:rPr>
          <w:spacing w:val="48"/>
          <w:vertAlign w:val="baseline"/>
        </w:rPr>
        <w:t> </w:t>
      </w:r>
      <w:r>
        <w:rPr>
          <w:vertAlign w:val="baseline"/>
        </w:rPr>
        <w:t>and</w:t>
      </w:r>
      <w:r>
        <w:rPr>
          <w:spacing w:val="46"/>
          <w:vertAlign w:val="baseline"/>
        </w:rPr>
        <w:t> </w:t>
      </w:r>
      <w:r>
        <w:rPr>
          <w:vertAlign w:val="baseline"/>
        </w:rPr>
        <w:t>their</w:t>
      </w:r>
      <w:r>
        <w:rPr>
          <w:spacing w:val="45"/>
          <w:vertAlign w:val="baseline"/>
        </w:rPr>
        <w:t> </w:t>
      </w:r>
      <w:r>
        <w:rPr>
          <w:vertAlign w:val="baseline"/>
        </w:rPr>
        <w:t>antibiotic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Heading1"/>
        <w:ind w:left="200" w:right="0"/>
        <w:jc w:val="left"/>
      </w:pPr>
      <w:r>
        <w:rPr/>
        <w:t>86</w:t>
      </w:r>
    </w:p>
    <w:p>
      <w:pPr>
        <w:spacing w:line="226" w:lineRule="exact" w:before="0"/>
        <w:ind w:left="900" w:right="81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[84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91]</w:t>
      </w:r>
    </w:p>
    <w:p>
      <w:pPr>
        <w:pStyle w:val="BodyText"/>
        <w:spacing w:before="8"/>
        <w:rPr>
          <w:rFonts w:ascii="Palatino Linotype"/>
          <w:sz w:val="29"/>
        </w:rPr>
      </w:pPr>
    </w:p>
    <w:p>
      <w:pPr>
        <w:spacing w:after="0"/>
        <w:rPr>
          <w:rFonts w:ascii="Palatino Linotype"/>
          <w:sz w:val="29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40"/>
        <w:jc w:val="both"/>
      </w:pPr>
      <w:r>
        <w:rPr/>
        <w:t>susceptibility</w:t>
      </w:r>
      <w:r>
        <w:rPr>
          <w:spacing w:val="1"/>
        </w:rPr>
        <w:t> </w:t>
      </w:r>
      <w:r>
        <w:rPr/>
        <w:t>pattern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urinary</w:t>
      </w:r>
      <w:r>
        <w:rPr>
          <w:spacing w:val="1"/>
        </w:rPr>
        <w:t> </w:t>
      </w:r>
      <w:r>
        <w:rPr/>
        <w:t>tract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visiting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teaching hospital Northwest Ethiopia. The finding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up-to-date</w:t>
      </w:r>
      <w:r>
        <w:rPr>
          <w:spacing w:val="1"/>
        </w:rPr>
        <w:t> </w:t>
      </w:r>
      <w:r>
        <w:rPr/>
        <w:t>information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appropriate</w:t>
      </w:r>
      <w:r>
        <w:rPr>
          <w:spacing w:val="-3"/>
        </w:rPr>
        <w:t> </w:t>
      </w:r>
      <w:r>
        <w:rPr/>
        <w:t>management</w:t>
      </w:r>
      <w:r>
        <w:rPr>
          <w:spacing w:val="-3"/>
        </w:rPr>
        <w:t> </w:t>
      </w:r>
      <w:r>
        <w:rPr/>
        <w:t>of urinary</w:t>
      </w:r>
      <w:r>
        <w:rPr>
          <w:spacing w:val="-6"/>
        </w:rPr>
        <w:t> </w:t>
      </w:r>
      <w:r>
        <w:rPr/>
        <w:t>tract</w:t>
      </w:r>
      <w:r>
        <w:rPr>
          <w:spacing w:val="-3"/>
        </w:rPr>
        <w:t> </w:t>
      </w:r>
      <w:r>
        <w:rPr/>
        <w:t>infection.</w:t>
      </w:r>
    </w:p>
    <w:p>
      <w:pPr>
        <w:pStyle w:val="BodyText"/>
        <w:spacing w:before="9"/>
        <w:rPr>
          <w:sz w:val="27"/>
        </w:rPr>
      </w:pPr>
    </w:p>
    <w:p>
      <w:pPr>
        <w:pStyle w:val="Heading2"/>
        <w:jc w:val="both"/>
      </w:pPr>
      <w:r>
        <w:rPr/>
        <w:t>Methods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Materials</w:t>
      </w:r>
    </w:p>
    <w:p>
      <w:pPr>
        <w:pStyle w:val="Heading3"/>
        <w:spacing w:before="42"/>
      </w:pPr>
      <w:r>
        <w:rPr/>
        <w:t>Study</w:t>
      </w:r>
      <w:r>
        <w:rPr>
          <w:spacing w:val="-2"/>
        </w:rPr>
        <w:t> </w:t>
      </w:r>
      <w:r>
        <w:rPr/>
        <w:t>area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The study was conducted in University of Gondar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hospitals,</w:t>
      </w:r>
      <w:r>
        <w:rPr>
          <w:spacing w:val="1"/>
        </w:rPr>
        <w:t> </w:t>
      </w:r>
      <w:r>
        <w:rPr/>
        <w:t>Gondar,</w:t>
      </w:r>
      <w:r>
        <w:rPr>
          <w:spacing w:val="1"/>
        </w:rPr>
        <w:t> </w:t>
      </w:r>
      <w:r>
        <w:rPr/>
        <w:t>Northwest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which is located 738 Km far from the capital city,</w:t>
      </w:r>
      <w:r>
        <w:rPr>
          <w:spacing w:val="1"/>
        </w:rPr>
        <w:t> </w:t>
      </w:r>
      <w:r>
        <w:rPr/>
        <w:t>Addis Ababa to the Northwest of Ethiopia. Gondar</w:t>
      </w:r>
      <w:r>
        <w:rPr>
          <w:spacing w:val="1"/>
        </w:rPr>
        <w:t> </w:t>
      </w:r>
      <w:r>
        <w:rPr/>
        <w:t>town has an average temperature of 24</w:t>
      </w:r>
      <w:r>
        <w:rPr>
          <w:vertAlign w:val="superscript"/>
        </w:rPr>
        <w:t>o</w:t>
      </w:r>
      <w:r>
        <w:rPr>
          <w:vertAlign w:val="baseline"/>
        </w:rPr>
        <w:t>c and an</w:t>
      </w:r>
      <w:r>
        <w:rPr>
          <w:spacing w:val="1"/>
          <w:vertAlign w:val="baseline"/>
        </w:rPr>
        <w:t> </w:t>
      </w:r>
      <w:r>
        <w:rPr>
          <w:vertAlign w:val="baseline"/>
        </w:rPr>
        <w:t>altitude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2133m above</w:t>
      </w:r>
      <w:r>
        <w:rPr>
          <w:spacing w:val="1"/>
          <w:vertAlign w:val="baseline"/>
        </w:rPr>
        <w:t> </w:t>
      </w:r>
      <w:r>
        <w:rPr>
          <w:vertAlign w:val="baseline"/>
        </w:rPr>
        <w:t>sea</w:t>
      </w:r>
      <w:r>
        <w:rPr>
          <w:spacing w:val="1"/>
          <w:vertAlign w:val="baseline"/>
        </w:rPr>
        <w:t> </w:t>
      </w:r>
      <w:r>
        <w:rPr>
          <w:vertAlign w:val="baseline"/>
        </w:rPr>
        <w:t>level.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provides health service to over 3million inhabitants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around</w:t>
      </w:r>
      <w:r>
        <w:rPr>
          <w:spacing w:val="1"/>
          <w:vertAlign w:val="baseline"/>
        </w:rPr>
        <w:t> </w:t>
      </w:r>
      <w:r>
        <w:rPr>
          <w:vertAlign w:val="baseline"/>
        </w:rPr>
        <w:t>Gondar.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Study</w:t>
      </w:r>
      <w:r>
        <w:rPr>
          <w:spacing w:val="-4"/>
        </w:rPr>
        <w:t> </w:t>
      </w:r>
      <w:r>
        <w:rPr/>
        <w:t>Population</w:t>
      </w:r>
    </w:p>
    <w:p>
      <w:pPr>
        <w:pStyle w:val="BodyText"/>
        <w:spacing w:line="276" w:lineRule="auto" w:before="29"/>
        <w:ind w:left="200" w:right="42"/>
        <w:jc w:val="both"/>
      </w:pP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975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clinically</w:t>
      </w:r>
      <w:r>
        <w:rPr>
          <w:spacing w:val="1"/>
        </w:rPr>
        <w:t> </w:t>
      </w:r>
      <w:r>
        <w:rPr/>
        <w:t>diagnosed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UTIs were assessed for bacteriuria from September</w:t>
      </w:r>
      <w:r>
        <w:rPr>
          <w:spacing w:val="-47"/>
        </w:rPr>
        <w:t> </w:t>
      </w:r>
      <w:r>
        <w:rPr/>
        <w:t>2010 to May 2012. Informed written consent 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collection.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interviews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-47"/>
        </w:rPr>
        <w:t> </w:t>
      </w:r>
      <w:r>
        <w:rPr/>
        <w:t>socio-demographic</w:t>
      </w:r>
      <w:r>
        <w:rPr>
          <w:spacing w:val="1"/>
        </w:rPr>
        <w:t> </w:t>
      </w:r>
      <w:r>
        <w:rPr/>
        <w:t>data.</w:t>
      </w:r>
      <w:r>
        <w:rPr>
          <w:spacing w:val="1"/>
        </w:rPr>
        <w:t> </w:t>
      </w:r>
      <w:r>
        <w:rPr/>
        <w:t>Ethical</w:t>
      </w:r>
      <w:r>
        <w:rPr>
          <w:spacing w:val="1"/>
        </w:rPr>
        <w:t> </w:t>
      </w:r>
      <w:r>
        <w:rPr/>
        <w:t>approval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permission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conduct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 the Ethical review board of the University of</w:t>
      </w:r>
      <w:r>
        <w:rPr>
          <w:spacing w:val="1"/>
        </w:rPr>
        <w:t> </w:t>
      </w:r>
      <w:r>
        <w:rPr/>
        <w:t>Gondar</w:t>
      </w:r>
      <w:r>
        <w:rPr>
          <w:spacing w:val="-1"/>
        </w:rPr>
        <w:t> </w:t>
      </w:r>
      <w:r>
        <w:rPr/>
        <w:t>and Medical</w:t>
      </w:r>
      <w:r>
        <w:rPr>
          <w:spacing w:val="-1"/>
        </w:rPr>
        <w:t> </w:t>
      </w:r>
      <w:r>
        <w:rPr/>
        <w:t>directors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hospitals.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1379"/>
      </w:pPr>
      <w:r>
        <w:rPr/>
        <w:t>Sample</w:t>
      </w:r>
      <w:r>
        <w:rPr>
          <w:spacing w:val="-5"/>
        </w:rPr>
        <w:t> </w:t>
      </w:r>
      <w:r>
        <w:rPr/>
        <w:t>collection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processing</w:t>
      </w:r>
      <w:r>
        <w:rPr>
          <w:spacing w:val="-48"/>
        </w:rPr>
        <w:t> </w:t>
      </w:r>
      <w:r>
        <w:rPr/>
        <w:t>Sample</w:t>
      </w:r>
      <w:r>
        <w:rPr>
          <w:spacing w:val="-1"/>
        </w:rPr>
        <w:t> </w:t>
      </w:r>
      <w:r>
        <w:rPr/>
        <w:t>collection</w:t>
      </w:r>
    </w:p>
    <w:p>
      <w:pPr>
        <w:pStyle w:val="BodyText"/>
        <w:spacing w:line="276" w:lineRule="auto"/>
        <w:ind w:left="200" w:right="44"/>
        <w:jc w:val="both"/>
      </w:pPr>
      <w:r>
        <w:rPr/>
        <w:t>Early morning, 5 ml of midstream urine specimens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lick</w:t>
      </w:r>
      <w:r>
        <w:rPr>
          <w:spacing w:val="1"/>
        </w:rPr>
        <w:t> </w:t>
      </w:r>
      <w:r>
        <w:rPr/>
        <w:t>proof</w:t>
      </w:r>
      <w:r>
        <w:rPr>
          <w:spacing w:val="1"/>
        </w:rPr>
        <w:t> </w:t>
      </w:r>
      <w:r>
        <w:rPr/>
        <w:t>re-usable</w:t>
      </w:r>
      <w:r>
        <w:rPr>
          <w:spacing w:val="1"/>
        </w:rPr>
        <w:t> </w:t>
      </w:r>
      <w:r>
        <w:rPr/>
        <w:t>plastic</w:t>
      </w:r>
      <w:r>
        <w:rPr>
          <w:spacing w:val="-47"/>
        </w:rPr>
        <w:t> </w:t>
      </w:r>
      <w:r>
        <w:rPr/>
        <w:t>containers.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specimens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within</w:t>
      </w:r>
      <w:r>
        <w:rPr>
          <w:spacing w:val="-2"/>
        </w:rPr>
        <w:t> </w:t>
      </w:r>
      <w:r>
        <w:rPr/>
        <w:t>an</w:t>
      </w:r>
      <w:r>
        <w:rPr>
          <w:spacing w:val="1"/>
        </w:rPr>
        <w:t> </w:t>
      </w:r>
      <w:r>
        <w:rPr/>
        <w:t>hour of</w:t>
      </w:r>
      <w:r>
        <w:rPr>
          <w:spacing w:val="-1"/>
        </w:rPr>
        <w:t> </w:t>
      </w:r>
      <w:r>
        <w:rPr/>
        <w:t>collection.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spacing w:line="276" w:lineRule="auto" w:before="1"/>
        <w:ind w:right="1773"/>
      </w:pPr>
      <w:r>
        <w:rPr/>
        <w:t>Bacteriological investigation</w:t>
      </w:r>
      <w:r>
        <w:rPr>
          <w:spacing w:val="-47"/>
        </w:rPr>
        <w:t> </w:t>
      </w:r>
      <w:r>
        <w:rPr/>
        <w:t>Culture</w:t>
      </w:r>
    </w:p>
    <w:p>
      <w:pPr>
        <w:pStyle w:val="BodyText"/>
        <w:spacing w:line="276" w:lineRule="auto"/>
        <w:ind w:left="200" w:right="41"/>
        <w:jc w:val="both"/>
      </w:pPr>
      <w:r>
        <w:rPr/>
        <w:t>Using</w:t>
      </w:r>
      <w:r>
        <w:rPr>
          <w:spacing w:val="1"/>
        </w:rPr>
        <w:t> </w:t>
      </w:r>
      <w:r>
        <w:rPr/>
        <w:t>calibrated</w:t>
      </w:r>
      <w:r>
        <w:rPr>
          <w:spacing w:val="1"/>
        </w:rPr>
        <w:t> </w:t>
      </w:r>
      <w:r>
        <w:rPr/>
        <w:t>wire</w:t>
      </w:r>
      <w:r>
        <w:rPr>
          <w:spacing w:val="1"/>
        </w:rPr>
        <w:t> </w:t>
      </w:r>
      <w:r>
        <w:rPr/>
        <w:t>loop</w:t>
      </w:r>
      <w:r>
        <w:rPr>
          <w:spacing w:val="1"/>
        </w:rPr>
        <w:t> </w:t>
      </w:r>
      <w:r>
        <w:rPr/>
        <w:t>(0.001</w:t>
      </w:r>
      <w:r>
        <w:rPr>
          <w:spacing w:val="1"/>
        </w:rPr>
        <w:t> </w:t>
      </w:r>
      <w:r>
        <w:rPr/>
        <w:t>ml)</w:t>
      </w:r>
      <w:r>
        <w:rPr>
          <w:spacing w:val="50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 inoculated in to Cystine Lactose Electrolyte</w:t>
      </w:r>
      <w:r>
        <w:rPr>
          <w:spacing w:val="1"/>
        </w:rPr>
        <w:t> </w:t>
      </w:r>
      <w:r>
        <w:rPr/>
        <w:t>Deficient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(CLED).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24–48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colonies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counted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check significant growth. Colony counts yielding</w:t>
      </w:r>
      <w:r>
        <w:rPr>
          <w:spacing w:val="1"/>
        </w:rPr>
        <w:t> </w:t>
      </w:r>
      <w:r>
        <w:rPr/>
        <w:t>bacterial growth of 10</w:t>
      </w:r>
      <w:r>
        <w:rPr>
          <w:vertAlign w:val="superscript"/>
        </w:rPr>
        <w:t>5</w:t>
      </w:r>
      <w:r>
        <w:rPr>
          <w:vertAlign w:val="baseline"/>
        </w:rPr>
        <w:t>/ml of urine</w:t>
      </w:r>
      <w:r>
        <w:rPr>
          <w:spacing w:val="50"/>
          <w:vertAlign w:val="baseline"/>
        </w:rPr>
        <w:t> </w:t>
      </w:r>
      <w:r>
        <w:rPr>
          <w:vertAlign w:val="baseline"/>
        </w:rPr>
        <w:t>were regarded</w:t>
      </w:r>
      <w:r>
        <w:rPr>
          <w:spacing w:val="1"/>
          <w:vertAlign w:val="baseline"/>
        </w:rPr>
        <w:t> </w:t>
      </w:r>
      <w:r>
        <w:rPr>
          <w:vertAlign w:val="baseline"/>
        </w:rPr>
        <w:t>as significant for bacteriuria. Colonies from CLED</w:t>
      </w:r>
      <w:r>
        <w:rPr>
          <w:spacing w:val="1"/>
          <w:vertAlign w:val="baseline"/>
        </w:rPr>
        <w:t> </w:t>
      </w:r>
      <w:r>
        <w:rPr>
          <w:vertAlign w:val="baseline"/>
        </w:rPr>
        <w:t>were sub cultured into MacConkey agar and blood</w:t>
      </w:r>
      <w:r>
        <w:rPr>
          <w:spacing w:val="1"/>
          <w:vertAlign w:val="baseline"/>
        </w:rPr>
        <w:t> </w:t>
      </w:r>
      <w:r>
        <w:rPr>
          <w:vertAlign w:val="baseline"/>
        </w:rPr>
        <w:t>agar plates (BAP) (Oxoid, LTD) and incubated at</w:t>
      </w:r>
      <w:r>
        <w:rPr>
          <w:spacing w:val="1"/>
          <w:vertAlign w:val="baseline"/>
        </w:rPr>
        <w:t> </w:t>
      </w:r>
      <w:r>
        <w:rPr>
          <w:vertAlign w:val="baseline"/>
        </w:rPr>
        <w:t>37°C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24–48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-47"/>
          <w:vertAlign w:val="baseline"/>
        </w:rPr>
        <w:t> </w:t>
      </w:r>
      <w:r>
        <w:rPr>
          <w:vertAlign w:val="baseline"/>
        </w:rPr>
        <w:t>was</w:t>
      </w:r>
      <w:r>
        <w:rPr>
          <w:spacing w:val="47"/>
          <w:vertAlign w:val="baseline"/>
        </w:rPr>
        <w:t> </w:t>
      </w:r>
      <w:r>
        <w:rPr>
          <w:vertAlign w:val="baseline"/>
        </w:rPr>
        <w:t>done</w:t>
      </w:r>
      <w:r>
        <w:rPr>
          <w:spacing w:val="47"/>
          <w:vertAlign w:val="baseline"/>
        </w:rPr>
        <w:t> </w:t>
      </w:r>
      <w:r>
        <w:rPr>
          <w:vertAlign w:val="baseline"/>
        </w:rPr>
        <w:t>using</w:t>
      </w:r>
      <w:r>
        <w:rPr>
          <w:spacing w:val="47"/>
          <w:vertAlign w:val="baseline"/>
        </w:rPr>
        <w:t> </w:t>
      </w:r>
      <w:r>
        <w:rPr>
          <w:vertAlign w:val="baseline"/>
        </w:rPr>
        <w:t>colony</w:t>
      </w:r>
      <w:r>
        <w:rPr>
          <w:spacing w:val="45"/>
          <w:vertAlign w:val="baseline"/>
        </w:rPr>
        <w:t> </w:t>
      </w:r>
      <w:r>
        <w:rPr>
          <w:vertAlign w:val="baseline"/>
        </w:rPr>
        <w:t>characteristics,</w:t>
      </w:r>
      <w:r>
        <w:rPr>
          <w:spacing w:val="1"/>
          <w:vertAlign w:val="baseline"/>
        </w:rPr>
        <w:t> </w:t>
      </w:r>
      <w:r>
        <w:rPr>
          <w:vertAlign w:val="baseline"/>
        </w:rPr>
        <w:t>gram</w:t>
      </w:r>
    </w:p>
    <w:p>
      <w:pPr>
        <w:pStyle w:val="BodyText"/>
        <w:spacing w:line="276" w:lineRule="auto" w:before="91"/>
        <w:ind w:left="200" w:right="125"/>
        <w:jc w:val="both"/>
      </w:pPr>
      <w:r>
        <w:rPr/>
        <w:br w:type="column"/>
      </w:r>
      <w:r>
        <w:rPr/>
        <w:t>reaction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organisms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standard</w:t>
      </w:r>
      <w:r>
        <w:rPr>
          <w:spacing w:val="2"/>
        </w:rPr>
        <w:t> </w:t>
      </w:r>
      <w:r>
        <w:rPr/>
        <w:t>procedure</w:t>
      </w:r>
      <w:r>
        <w:rPr>
          <w:vertAlign w:val="superscript"/>
        </w:rPr>
        <w:t>13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Antimicrobial</w:t>
      </w:r>
      <w:r>
        <w:rPr>
          <w:spacing w:val="-7"/>
        </w:rPr>
        <w:t> </w:t>
      </w:r>
      <w:r>
        <w:rPr/>
        <w:t>susceptibility</w:t>
      </w:r>
      <w:r>
        <w:rPr>
          <w:spacing w:val="-6"/>
        </w:rPr>
        <w:t> </w:t>
      </w:r>
      <w:r>
        <w:rPr/>
        <w:t>testing</w:t>
      </w:r>
    </w:p>
    <w:p>
      <w:pPr>
        <w:pStyle w:val="BodyText"/>
        <w:spacing w:line="276" w:lineRule="auto" w:before="30"/>
        <w:ind w:left="200" w:right="121"/>
        <w:jc w:val="both"/>
      </w:pPr>
      <w:r>
        <w:rPr/>
        <w:t>Susceptibility testing was performed on all isolates</w:t>
      </w:r>
      <w:r>
        <w:rPr>
          <w:spacing w:val="1"/>
        </w:rPr>
        <w:t> </w:t>
      </w:r>
      <w:r>
        <w:rPr/>
        <w:t>according to the criteria of National Committee for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Standards</w:t>
      </w:r>
      <w:r>
        <w:rPr>
          <w:spacing w:val="1"/>
        </w:rPr>
        <w:t> </w:t>
      </w:r>
      <w:r>
        <w:rPr/>
        <w:t>(NCCLs)</w:t>
      </w:r>
      <w:r>
        <w:rPr>
          <w:vertAlign w:val="superscript"/>
        </w:rPr>
        <w:t>14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 that were tested include amoxicillin (25 μg),</w:t>
      </w:r>
      <w:r>
        <w:rPr>
          <w:spacing w:val="1"/>
          <w:vertAlign w:val="baseline"/>
        </w:rPr>
        <w:t> </w:t>
      </w:r>
      <w:r>
        <w:rPr>
          <w:vertAlign w:val="baseline"/>
        </w:rPr>
        <w:t>ampicillin</w:t>
      </w:r>
      <w:r>
        <w:rPr>
          <w:spacing w:val="11"/>
          <w:vertAlign w:val="baseline"/>
        </w:rPr>
        <w:t> </w:t>
      </w:r>
      <w:r>
        <w:rPr>
          <w:vertAlign w:val="baseline"/>
        </w:rPr>
        <w:t>(10</w:t>
      </w:r>
      <w:r>
        <w:rPr>
          <w:spacing w:val="14"/>
          <w:vertAlign w:val="baseline"/>
        </w:rPr>
        <w:t> </w:t>
      </w:r>
      <w:r>
        <w:rPr>
          <w:vertAlign w:val="baseline"/>
        </w:rPr>
        <w:t>μg),</w:t>
      </w:r>
      <w:r>
        <w:rPr>
          <w:spacing w:val="13"/>
          <w:vertAlign w:val="baseline"/>
        </w:rPr>
        <w:t> </w:t>
      </w:r>
      <w:r>
        <w:rPr>
          <w:vertAlign w:val="baseline"/>
        </w:rPr>
        <w:t>erythromycin</w:t>
      </w:r>
      <w:r>
        <w:rPr>
          <w:spacing w:val="13"/>
          <w:vertAlign w:val="baseline"/>
        </w:rPr>
        <w:t> </w:t>
      </w:r>
      <w:r>
        <w:rPr>
          <w:vertAlign w:val="baseline"/>
        </w:rPr>
        <w:t>(15</w:t>
      </w:r>
      <w:r>
        <w:rPr>
          <w:spacing w:val="14"/>
          <w:vertAlign w:val="baseline"/>
        </w:rPr>
        <w:t> </w:t>
      </w:r>
      <w:r>
        <w:rPr>
          <w:vertAlign w:val="baseline"/>
        </w:rPr>
        <w:t>μg),</w:t>
      </w:r>
    </w:p>
    <w:p>
      <w:pPr>
        <w:pStyle w:val="BodyText"/>
        <w:spacing w:line="276" w:lineRule="auto"/>
        <w:ind w:left="200" w:right="122"/>
        <w:jc w:val="both"/>
      </w:pPr>
      <w:r>
        <w:rPr/>
        <w:t>ciprofloxacin</w:t>
      </w:r>
      <w:r>
        <w:rPr>
          <w:spacing w:val="1"/>
        </w:rPr>
        <w:t> </w:t>
      </w:r>
      <w:r>
        <w:rPr/>
        <w:t>(5</w:t>
      </w:r>
      <w:r>
        <w:rPr>
          <w:spacing w:val="1"/>
        </w:rPr>
        <w:t> </w:t>
      </w:r>
      <w:r>
        <w:rPr/>
        <w:t>μg),</w:t>
      </w:r>
      <w:r>
        <w:rPr>
          <w:spacing w:val="1"/>
        </w:rPr>
        <w:t> </w:t>
      </w:r>
      <w:r>
        <w:rPr/>
        <w:t>Norfloxacin</w:t>
      </w:r>
      <w:r>
        <w:rPr>
          <w:spacing w:val="1"/>
        </w:rPr>
        <w:t> </w:t>
      </w:r>
      <w:r>
        <w:rPr/>
        <w:t>(10</w:t>
      </w:r>
      <w:r>
        <w:rPr>
          <w:spacing w:val="1"/>
        </w:rPr>
        <w:t> </w:t>
      </w:r>
      <w:r>
        <w:rPr/>
        <w:t>μg),</w:t>
      </w:r>
      <w:r>
        <w:rPr>
          <w:spacing w:val="-47"/>
        </w:rPr>
        <w:t> </w:t>
      </w:r>
      <w:r>
        <w:rPr/>
        <w:t>tetracycline (30 μg), co-trimoxazole (25 μg) and</w:t>
      </w:r>
      <w:r>
        <w:rPr>
          <w:spacing w:val="1"/>
        </w:rPr>
        <w:t> </w:t>
      </w:r>
      <w:r>
        <w:rPr/>
        <w:t>chloroamphenicol</w:t>
      </w:r>
      <w:r>
        <w:rPr>
          <w:spacing w:val="30"/>
        </w:rPr>
        <w:t> </w:t>
      </w:r>
      <w:r>
        <w:rPr/>
        <w:t>(30</w:t>
      </w:r>
      <w:r>
        <w:rPr>
          <w:spacing w:val="32"/>
        </w:rPr>
        <w:t> </w:t>
      </w:r>
      <w:r>
        <w:rPr/>
        <w:t>μg).</w:t>
      </w:r>
      <w:r>
        <w:rPr>
          <w:spacing w:val="31"/>
        </w:rPr>
        <w:t> </w:t>
      </w:r>
      <w:r>
        <w:rPr/>
        <w:t>Diameters</w:t>
      </w:r>
      <w:r>
        <w:rPr>
          <w:spacing w:val="32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zone</w:t>
      </w:r>
      <w:r>
        <w:rPr>
          <w:spacing w:val="-48"/>
        </w:rPr>
        <w:t> </w:t>
      </w:r>
      <w:r>
        <w:rPr/>
        <w:t>of inhibition around the disc were measured to the</w:t>
      </w:r>
      <w:r>
        <w:rPr>
          <w:spacing w:val="1"/>
        </w:rPr>
        <w:t> </w:t>
      </w:r>
      <w:r>
        <w:rPr/>
        <w:t>nearest</w:t>
      </w:r>
      <w:r>
        <w:rPr>
          <w:spacing w:val="1"/>
        </w:rPr>
        <w:t> </w:t>
      </w:r>
      <w:r>
        <w:rPr/>
        <w:t>millimetre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electronic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calliper,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classified</w:t>
      </w:r>
      <w:r>
        <w:rPr>
          <w:spacing w:val="51"/>
        </w:rPr>
        <w:t> </w:t>
      </w:r>
      <w:r>
        <w:rPr/>
        <w:t>as</w:t>
      </w:r>
      <w:r>
        <w:rPr>
          <w:spacing w:val="1"/>
        </w:rPr>
        <w:t> </w:t>
      </w:r>
      <w:r>
        <w:rPr/>
        <w:t>sensitive, intermediate, and resistant according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standardized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 the NCCLs</w:t>
      </w:r>
      <w:r>
        <w:rPr>
          <w:vertAlign w:val="superscript"/>
        </w:rPr>
        <w:t>14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High, intermediate and low level of resistance is</w:t>
      </w:r>
      <w:r>
        <w:rPr>
          <w:spacing w:val="1"/>
          <w:vertAlign w:val="baseline"/>
        </w:rPr>
        <w:t> </w:t>
      </w:r>
      <w:r>
        <w:rPr>
          <w:vertAlign w:val="baseline"/>
        </w:rPr>
        <w:t>defined when the percentage of resistance is &gt;80%,</w:t>
      </w:r>
      <w:r>
        <w:rPr>
          <w:spacing w:val="-47"/>
          <w:vertAlign w:val="baseline"/>
        </w:rPr>
        <w:t> </w:t>
      </w:r>
      <w:r>
        <w:rPr>
          <w:vertAlign w:val="baseline"/>
        </w:rPr>
        <w:t>60-80%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&lt;</w:t>
      </w:r>
      <w:r>
        <w:rPr>
          <w:spacing w:val="-1"/>
          <w:vertAlign w:val="baseline"/>
        </w:rPr>
        <w:t> </w:t>
      </w:r>
      <w:r>
        <w:rPr>
          <w:vertAlign w:val="baseline"/>
        </w:rPr>
        <w:t>60% respectively.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Quality</w:t>
      </w:r>
      <w:r>
        <w:rPr>
          <w:spacing w:val="-3"/>
        </w:rPr>
        <w:t> </w:t>
      </w:r>
      <w:r>
        <w:rPr/>
        <w:t>control</w:t>
      </w:r>
    </w:p>
    <w:p>
      <w:pPr>
        <w:pStyle w:val="BodyText"/>
        <w:spacing w:line="276" w:lineRule="auto" w:before="32"/>
        <w:ind w:left="200" w:right="119"/>
        <w:jc w:val="both"/>
      </w:pPr>
      <w:r>
        <w:rPr/>
        <w:t>Culture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sterility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performance.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strains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E.</w:t>
      </w:r>
      <w:r>
        <w:rPr>
          <w:i/>
          <w:spacing w:val="1"/>
        </w:rPr>
        <w:t> </w:t>
      </w:r>
      <w:r>
        <w:rPr>
          <w:i/>
        </w:rPr>
        <w:t>coli</w:t>
      </w:r>
      <w:r>
        <w:rPr>
          <w:i/>
          <w:spacing w:val="1"/>
        </w:rPr>
        <w:t> </w:t>
      </w:r>
      <w:r>
        <w:rPr/>
        <w:t>ATCC</w:t>
      </w:r>
      <w:r>
        <w:rPr>
          <w:spacing w:val="1"/>
        </w:rPr>
        <w:t> </w:t>
      </w:r>
      <w:r>
        <w:rPr/>
        <w:t>25922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ATCC</w:t>
      </w:r>
      <w:r>
        <w:rPr>
          <w:spacing w:val="1"/>
        </w:rPr>
        <w:t> </w:t>
      </w:r>
      <w:r>
        <w:rPr/>
        <w:t>25923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used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testing.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Data</w:t>
      </w:r>
      <w:r>
        <w:rPr>
          <w:spacing w:val="-2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276" w:lineRule="auto" w:before="30"/>
        <w:ind w:left="200" w:right="125"/>
        <w:jc w:val="both"/>
      </w:pPr>
      <w:r>
        <w:rPr/>
        <w:t>Data were entered into a database designed using</w:t>
      </w:r>
      <w:r>
        <w:rPr>
          <w:spacing w:val="1"/>
        </w:rPr>
        <w:t> </w:t>
      </w:r>
      <w:r>
        <w:rPr/>
        <w:t>MS Excel spreadsheet and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using SPSS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package</w:t>
      </w:r>
      <w:r>
        <w:rPr>
          <w:spacing w:val="1"/>
        </w:rPr>
        <w:t> </w:t>
      </w:r>
      <w:r>
        <w:rPr/>
        <w:t>(version</w:t>
      </w:r>
      <w:r>
        <w:rPr>
          <w:spacing w:val="1"/>
        </w:rPr>
        <w:t> </w:t>
      </w:r>
      <w:r>
        <w:rPr/>
        <w:t>16).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findings were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in words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tables.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1"/>
      </w:pPr>
      <w:r>
        <w:rPr/>
        <w:t>Results</w:t>
      </w:r>
    </w:p>
    <w:p>
      <w:pPr>
        <w:pStyle w:val="BodyText"/>
        <w:spacing w:line="276" w:lineRule="auto" w:before="34"/>
        <w:ind w:left="200" w:right="118"/>
        <w:jc w:val="both"/>
      </w:pPr>
      <w:r>
        <w:rPr/>
        <w:t>A total of 975 urine samples were examined for</w:t>
      </w:r>
      <w:r>
        <w:rPr>
          <w:spacing w:val="1"/>
        </w:rPr>
        <w:t> </w:t>
      </w:r>
      <w:r>
        <w:rPr/>
        <w:t>suspected cases of UTIs during the study period. Of</w:t>
      </w:r>
      <w:r>
        <w:rPr>
          <w:spacing w:val="-47"/>
        </w:rPr>
        <w:t> </w:t>
      </w:r>
      <w:r>
        <w:rPr/>
        <w:t>these, 250 were positive for significant bacteriuria</w:t>
      </w:r>
      <w:r>
        <w:rPr>
          <w:spacing w:val="1"/>
        </w:rPr>
        <w:t> </w:t>
      </w:r>
      <w:r>
        <w:rPr/>
        <w:t>with a prevalence of 25.6%. From the isolated 250</w:t>
      </w:r>
      <w:r>
        <w:rPr>
          <w:spacing w:val="1"/>
        </w:rPr>
        <w:t> </w:t>
      </w:r>
      <w:r>
        <w:rPr/>
        <w:t>bacteria, </w:t>
      </w:r>
      <w:r>
        <w:rPr>
          <w:i/>
          <w:color w:val="231F1F"/>
        </w:rPr>
        <w:t>Escherichia coli </w:t>
      </w:r>
      <w:r>
        <w:rPr/>
        <w:t>(45.6 %) was the most</w:t>
      </w:r>
      <w:r>
        <w:rPr>
          <w:spacing w:val="1"/>
        </w:rPr>
        <w:t> </w:t>
      </w:r>
      <w:r>
        <w:rPr/>
        <w:t>predominant</w:t>
      </w:r>
      <w:r>
        <w:rPr>
          <w:spacing w:val="1"/>
        </w:rPr>
        <w:t> </w:t>
      </w:r>
      <w:r>
        <w:rPr/>
        <w:t>organism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i/>
          <w:color w:val="231F1F"/>
        </w:rPr>
        <w:t>Klebsiella</w:t>
      </w:r>
      <w:r>
        <w:rPr>
          <w:i/>
          <w:color w:val="231F1F"/>
          <w:spacing w:val="1"/>
        </w:rPr>
        <w:t> </w:t>
      </w:r>
      <w:r>
        <w:rPr>
          <w:i/>
          <w:color w:val="231F1F"/>
        </w:rPr>
        <w:t>pneumoniae</w:t>
      </w:r>
      <w:r>
        <w:rPr>
          <w:i/>
          <w:color w:val="231F1F"/>
          <w:spacing w:val="1"/>
        </w:rPr>
        <w:t> </w:t>
      </w:r>
      <w:r>
        <w:rPr/>
        <w:t>(8.8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  <w:color w:val="231F1F"/>
        </w:rPr>
        <w:t>Staphylococcus</w:t>
      </w:r>
      <w:r>
        <w:rPr>
          <w:i/>
          <w:color w:val="231F1F"/>
          <w:spacing w:val="1"/>
        </w:rPr>
        <w:t> </w:t>
      </w:r>
      <w:r>
        <w:rPr>
          <w:i/>
          <w:color w:val="231F1F"/>
        </w:rPr>
        <w:t>aureus</w:t>
      </w:r>
      <w:r>
        <w:rPr>
          <w:i/>
          <w:color w:val="231F1F"/>
          <w:spacing w:val="1"/>
        </w:rPr>
        <w:t> </w:t>
      </w:r>
      <w:r>
        <w:rPr/>
        <w:t>(8.4%)</w:t>
      </w:r>
      <w:r>
        <w:rPr>
          <w:spacing w:val="-1"/>
        </w:rPr>
        <w:t> </w:t>
      </w:r>
      <w:r>
        <w:rPr/>
        <w:t>(Table 1).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121"/>
        <w:jc w:val="both"/>
      </w:pPr>
      <w:r>
        <w:rPr/>
        <w:t>Two hundred and fifty bacteria were tested against</w:t>
      </w:r>
      <w:r>
        <w:rPr>
          <w:spacing w:val="1"/>
        </w:rPr>
        <w:t> </w:t>
      </w:r>
      <w:r>
        <w:rPr/>
        <w:t>eight antimicrobial agents commonly used in study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UTIs.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antimicrobial susceptibility pattern of the isolate is</w:t>
      </w:r>
      <w:r>
        <w:rPr>
          <w:spacing w:val="1"/>
        </w:rPr>
        <w:t> </w:t>
      </w:r>
      <w:r>
        <w:rPr/>
        <w:t>shown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Tables</w:t>
      </w:r>
      <w:r>
        <w:rPr>
          <w:spacing w:val="-2"/>
        </w:rPr>
        <w:t> </w:t>
      </w:r>
      <w:r>
        <w:rPr/>
        <w:t>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</w:t>
      </w:r>
      <w:r>
        <w:rPr>
          <w:spacing w:val="-2"/>
        </w:rPr>
        <w:t> </w:t>
      </w:r>
      <w:r>
        <w:rPr/>
        <w:t>below.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5" w:space="477"/>
            <w:col w:w="4478"/>
          </w:cols>
        </w:sectPr>
      </w:pPr>
    </w:p>
    <w:p>
      <w:pPr>
        <w:pStyle w:val="Heading1"/>
      </w:pPr>
      <w:r>
        <w:rPr/>
        <w:t>87</w:t>
      </w:r>
    </w:p>
    <w:p>
      <w:pPr>
        <w:spacing w:line="226" w:lineRule="exact" w:before="0"/>
        <w:ind w:left="900" w:right="81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[84 -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91]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 w:after="37"/>
        <w:ind w:left="900" w:right="825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Type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Bacteria</w:t>
      </w:r>
      <w:r>
        <w:rPr>
          <w:spacing w:val="-2"/>
        </w:rPr>
        <w:t> </w:t>
      </w:r>
      <w:r>
        <w:rPr/>
        <w:t>isolated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suspected</w:t>
      </w:r>
      <w:r>
        <w:rPr>
          <w:spacing w:val="-1"/>
        </w:rPr>
        <w:t> </w:t>
      </w:r>
      <w:r>
        <w:rPr/>
        <w:t>Urinary</w:t>
      </w:r>
      <w:r>
        <w:rPr>
          <w:spacing w:val="-2"/>
        </w:rPr>
        <w:t> </w:t>
      </w:r>
      <w:r>
        <w:rPr/>
        <w:t>tract</w:t>
      </w:r>
      <w:r>
        <w:rPr>
          <w:spacing w:val="-2"/>
        </w:rPr>
        <w:t> </w:t>
      </w:r>
      <w:r>
        <w:rPr/>
        <w:t>infections.</w:t>
      </w:r>
    </w:p>
    <w:tbl>
      <w:tblPr>
        <w:tblW w:w="0" w:type="auto"/>
        <w:jc w:val="left"/>
        <w:tblInd w:w="2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9"/>
        <w:gridCol w:w="1520"/>
        <w:gridCol w:w="1310"/>
      </w:tblGrid>
      <w:tr>
        <w:trPr>
          <w:trHeight w:val="208" w:hRule="atLeast"/>
        </w:trPr>
        <w:tc>
          <w:tcPr>
            <w:tcW w:w="20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384"/>
              <w:rPr>
                <w:sz w:val="18"/>
              </w:rPr>
            </w:pPr>
            <w:r>
              <w:rPr>
                <w:sz w:val="18"/>
              </w:rPr>
              <w:t>Organism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isolated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Organism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number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(%)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prevalence</w:t>
            </w:r>
          </w:p>
        </w:tc>
      </w:tr>
      <w:tr>
        <w:trPr>
          <w:trHeight w:val="206" w:hRule="atLeast"/>
        </w:trPr>
        <w:tc>
          <w:tcPr>
            <w:tcW w:w="20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Escherichia</w:t>
            </w:r>
            <w:r>
              <w:rPr>
                <w:i/>
                <w:color w:val="231F1F"/>
                <w:spacing w:val="-2"/>
                <w:sz w:val="18"/>
              </w:rPr>
              <w:t> </w:t>
            </w:r>
            <w:r>
              <w:rPr>
                <w:i/>
                <w:color w:val="231F1F"/>
                <w:sz w:val="18"/>
              </w:rPr>
              <w:t>coli</w:t>
            </w:r>
          </w:p>
        </w:tc>
        <w:tc>
          <w:tcPr>
            <w:tcW w:w="15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0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13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0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45.6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Klebsiella</w:t>
            </w:r>
            <w:r>
              <w:rPr>
                <w:i/>
                <w:color w:val="231F1F"/>
                <w:spacing w:val="-3"/>
                <w:sz w:val="18"/>
              </w:rPr>
              <w:t> </w:t>
            </w:r>
            <w:r>
              <w:rPr>
                <w:i/>
                <w:color w:val="231F1F"/>
                <w:sz w:val="18"/>
              </w:rPr>
              <w:t>pneumoniae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</w:tr>
      <w:tr>
        <w:trPr>
          <w:trHeight w:val="207" w:hRule="atLeast"/>
        </w:trPr>
        <w:tc>
          <w:tcPr>
            <w:tcW w:w="2079" w:type="dxa"/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Staphylococcus</w:t>
            </w:r>
            <w:r>
              <w:rPr>
                <w:i/>
                <w:color w:val="231F1F"/>
                <w:spacing w:val="-3"/>
                <w:sz w:val="18"/>
              </w:rPr>
              <w:t> </w:t>
            </w:r>
            <w:r>
              <w:rPr>
                <w:i/>
                <w:color w:val="231F1F"/>
                <w:sz w:val="18"/>
              </w:rPr>
              <w:t>aureus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 w:before="0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310" w:type="dxa"/>
          </w:tcPr>
          <w:p>
            <w:pPr>
              <w:pStyle w:val="TableParagraph"/>
              <w:spacing w:line="188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8.4</w:t>
            </w:r>
          </w:p>
        </w:tc>
      </w:tr>
      <w:tr>
        <w:trPr>
          <w:trHeight w:val="204" w:hRule="atLeast"/>
        </w:trPr>
        <w:tc>
          <w:tcPr>
            <w:tcW w:w="2079" w:type="dxa"/>
          </w:tcPr>
          <w:p>
            <w:pPr>
              <w:pStyle w:val="TableParagraph"/>
              <w:spacing w:line="184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Proteus</w:t>
            </w:r>
            <w:r>
              <w:rPr>
                <w:i/>
                <w:color w:val="231F1F"/>
                <w:spacing w:val="-2"/>
                <w:sz w:val="18"/>
              </w:rPr>
              <w:t> </w:t>
            </w:r>
            <w:r>
              <w:rPr>
                <w:i/>
                <w:color w:val="231F1F"/>
                <w:sz w:val="18"/>
              </w:rPr>
              <w:t>mirabilis</w:t>
            </w:r>
          </w:p>
        </w:tc>
        <w:tc>
          <w:tcPr>
            <w:tcW w:w="1520" w:type="dxa"/>
          </w:tcPr>
          <w:p>
            <w:pPr>
              <w:pStyle w:val="TableParagraph"/>
              <w:spacing w:line="184" w:lineRule="exact" w:before="0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10" w:type="dxa"/>
          </w:tcPr>
          <w:p>
            <w:pPr>
              <w:pStyle w:val="TableParagraph"/>
              <w:spacing w:line="184" w:lineRule="exact" w:before="0"/>
              <w:ind w:lef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416" w:hRule="atLeast"/>
        </w:trPr>
        <w:tc>
          <w:tcPr>
            <w:tcW w:w="2079" w:type="dxa"/>
          </w:tcPr>
          <w:p>
            <w:pPr>
              <w:pStyle w:val="TableParagraph"/>
              <w:spacing w:before="0"/>
              <w:ind w:left="115" w:right="474"/>
              <w:rPr>
                <w:i/>
                <w:sz w:val="18"/>
              </w:rPr>
            </w:pPr>
            <w:r>
              <w:rPr>
                <w:i/>
                <w:sz w:val="18"/>
              </w:rPr>
              <w:t>Coagulase-Negative</w:t>
            </w:r>
            <w:r>
              <w:rPr>
                <w:i/>
                <w:spacing w:val="-42"/>
                <w:sz w:val="18"/>
              </w:rPr>
              <w:t> </w:t>
            </w:r>
            <w:r>
              <w:rPr>
                <w:i/>
                <w:sz w:val="18"/>
              </w:rPr>
              <w:t>Staphylococci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 w:before="102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10" w:type="dxa"/>
          </w:tcPr>
          <w:p>
            <w:pPr>
              <w:pStyle w:val="TableParagraph"/>
              <w:spacing w:line="240" w:lineRule="auto" w:before="102"/>
              <w:ind w:lef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Klebsiella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7" w:hRule="atLeast"/>
        </w:trPr>
        <w:tc>
          <w:tcPr>
            <w:tcW w:w="2079" w:type="dxa"/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Citrobacter</w:t>
            </w:r>
            <w:r>
              <w:rPr>
                <w:i/>
                <w:color w:val="231F1F"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 w:before="0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10" w:type="dxa"/>
          </w:tcPr>
          <w:p>
            <w:pPr>
              <w:pStyle w:val="TableParagraph"/>
              <w:spacing w:line="188" w:lineRule="exact" w:before="0"/>
              <w:ind w:lef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7" w:hRule="atLeast"/>
        </w:trPr>
        <w:tc>
          <w:tcPr>
            <w:tcW w:w="2079" w:type="dxa"/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Providencia</w:t>
            </w:r>
            <w:r>
              <w:rPr>
                <w:i/>
                <w:color w:val="231F1F"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1310" w:type="dxa"/>
          </w:tcPr>
          <w:p>
            <w:pPr>
              <w:pStyle w:val="TableParagraph"/>
              <w:spacing w:line="188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3.6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Enterobacter</w:t>
            </w:r>
            <w:r>
              <w:rPr>
                <w:i/>
                <w:color w:val="231F1F"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3.6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Enterococcus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color w:val="231F1F"/>
                <w:sz w:val="18"/>
              </w:rPr>
              <w:t>faecalis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2.8</w:t>
            </w:r>
          </w:p>
        </w:tc>
      </w:tr>
      <w:tr>
        <w:trPr>
          <w:trHeight w:val="207" w:hRule="atLeast"/>
        </w:trPr>
        <w:tc>
          <w:tcPr>
            <w:tcW w:w="2079" w:type="dxa"/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Streptococci</w:t>
            </w:r>
            <w:r>
              <w:rPr>
                <w:i/>
                <w:color w:val="231F1F"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310" w:type="dxa"/>
          </w:tcPr>
          <w:p>
            <w:pPr>
              <w:pStyle w:val="TableParagraph"/>
              <w:spacing w:line="188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</w:tr>
      <w:tr>
        <w:trPr>
          <w:trHeight w:val="207" w:hRule="atLeast"/>
        </w:trPr>
        <w:tc>
          <w:tcPr>
            <w:tcW w:w="2079" w:type="dxa"/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Pseudomonas</w:t>
            </w:r>
            <w:r>
              <w:rPr>
                <w:i/>
                <w:color w:val="231F1F"/>
                <w:spacing w:val="-3"/>
                <w:sz w:val="18"/>
              </w:rPr>
              <w:t> </w:t>
            </w:r>
            <w:r>
              <w:rPr>
                <w:i/>
                <w:color w:val="231F1F"/>
                <w:sz w:val="18"/>
              </w:rPr>
              <w:t>aeruginosa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310" w:type="dxa"/>
          </w:tcPr>
          <w:p>
            <w:pPr>
              <w:pStyle w:val="TableParagraph"/>
              <w:spacing w:line="188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Proteus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color w:val="231F1F"/>
                <w:sz w:val="18"/>
              </w:rPr>
              <w:t>vulgaris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Streptococcus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pyogenes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>
        <w:trPr>
          <w:trHeight w:val="207" w:hRule="atLeast"/>
        </w:trPr>
        <w:tc>
          <w:tcPr>
            <w:tcW w:w="2079" w:type="dxa"/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Morganella</w:t>
            </w:r>
            <w:r>
              <w:rPr>
                <w:i/>
                <w:color w:val="231F1F"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morganii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310" w:type="dxa"/>
          </w:tcPr>
          <w:p>
            <w:pPr>
              <w:pStyle w:val="TableParagraph"/>
              <w:spacing w:line="188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>
        <w:trPr>
          <w:trHeight w:val="207" w:hRule="atLeast"/>
        </w:trPr>
        <w:tc>
          <w:tcPr>
            <w:tcW w:w="2079" w:type="dxa"/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Salmonella</w:t>
            </w:r>
            <w:r>
              <w:rPr>
                <w:i/>
                <w:color w:val="231F1F"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310" w:type="dxa"/>
          </w:tcPr>
          <w:p>
            <w:pPr>
              <w:pStyle w:val="TableParagraph"/>
              <w:spacing w:line="188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Shigella</w:t>
            </w:r>
            <w:r>
              <w:rPr>
                <w:i/>
                <w:color w:val="231F1F"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>
        <w:trPr>
          <w:trHeight w:val="206" w:hRule="atLeast"/>
        </w:trPr>
        <w:tc>
          <w:tcPr>
            <w:tcW w:w="2079" w:type="dxa"/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color w:val="231F1F"/>
                <w:sz w:val="18"/>
              </w:rPr>
              <w:t>Serratia</w:t>
            </w:r>
            <w:r>
              <w:rPr>
                <w:i/>
                <w:color w:val="231F1F"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</w:tcPr>
          <w:p>
            <w:pPr>
              <w:pStyle w:val="TableParagraph"/>
              <w:spacing w:line="186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310" w:type="dxa"/>
          </w:tcPr>
          <w:p>
            <w:pPr>
              <w:pStyle w:val="TableParagraph"/>
              <w:spacing w:line="186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</w:tr>
      <w:tr>
        <w:trPr>
          <w:trHeight w:val="208" w:hRule="atLeast"/>
        </w:trPr>
        <w:tc>
          <w:tcPr>
            <w:tcW w:w="20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Edwardeseilla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0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3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 w:before="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</w:tr>
      <w:tr>
        <w:trPr>
          <w:trHeight w:val="205" w:hRule="atLeast"/>
        </w:trPr>
        <w:tc>
          <w:tcPr>
            <w:tcW w:w="20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 w:before="0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Total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 w:before="0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6" w:lineRule="exact" w:before="0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39"/>
        <w:jc w:val="both"/>
      </w:pP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(n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250)</w:t>
      </w:r>
      <w:r>
        <w:rPr>
          <w:spacing w:val="1"/>
        </w:rPr>
        <w:t> </w:t>
      </w:r>
      <w:r>
        <w:rPr/>
        <w:t>multi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resistance (MDR = resistance in ≥ 2 drugs) were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238</w:t>
      </w:r>
      <w:r>
        <w:rPr>
          <w:spacing w:val="1"/>
        </w:rPr>
        <w:t> </w:t>
      </w:r>
      <w:r>
        <w:rPr/>
        <w:t>(95.2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uropathogens.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Gram-positives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40/47(85.1%)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resistance</w:t>
      </w:r>
      <w:r>
        <w:rPr>
          <w:spacing w:val="-47"/>
        </w:rPr>
        <w:t> </w:t>
      </w:r>
      <w:r>
        <w:rPr/>
        <w:t>(resistance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drugs)</w:t>
      </w:r>
      <w:r>
        <w:rPr>
          <w:spacing w:val="1"/>
        </w:rPr>
        <w:t> </w:t>
      </w:r>
      <w:r>
        <w:rPr/>
        <w:t>(data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presented here). Rates of susceptibility of Gram-</w:t>
      </w:r>
      <w:r>
        <w:rPr>
          <w:spacing w:val="1"/>
        </w:rPr>
        <w:t> </w:t>
      </w:r>
      <w:r>
        <w:rPr/>
        <w:t>negatives range from 10.8 % - 60.6 %. All isolates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(&gt;80%)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ampicilline,</w:t>
      </w:r>
      <w:r>
        <w:rPr>
          <w:spacing w:val="1"/>
        </w:rPr>
        <w:t> </w:t>
      </w:r>
      <w:r>
        <w:rPr/>
        <w:t>erythromycine,</w:t>
      </w:r>
      <w:r>
        <w:rPr>
          <w:spacing w:val="1"/>
        </w:rPr>
        <w:t> </w:t>
      </w:r>
      <w:r>
        <w:rPr/>
        <w:t>tetracycline,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(60-80%)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amoxicillin and</w:t>
      </w:r>
      <w:r>
        <w:rPr>
          <w:spacing w:val="1"/>
        </w:rPr>
        <w:t> </w:t>
      </w:r>
      <w:r>
        <w:rPr/>
        <w:t>co-trimoxazole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 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(&lt;60%)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negatives,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predominant</w:t>
      </w:r>
      <w:r>
        <w:rPr>
          <w:spacing w:val="-47"/>
        </w:rPr>
        <w:t> </w:t>
      </w:r>
      <w:r>
        <w:rPr/>
        <w:t>isolate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E.</w:t>
      </w:r>
      <w:r>
        <w:rPr>
          <w:spacing w:val="1"/>
        </w:rPr>
        <w:t> </w:t>
      </w:r>
      <w:r>
        <w:rPr/>
        <w:t>coli,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(56.2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Gram-</w:t>
      </w:r>
      <w:r>
        <w:rPr>
          <w:spacing w:val="1"/>
        </w:rPr>
        <w:t> </w:t>
      </w:r>
      <w:r>
        <w:rPr/>
        <w:t>negatives and, 45.6 % of all isolates) demonstrated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erythromycin</w:t>
      </w:r>
      <w:r>
        <w:rPr>
          <w:spacing w:val="1"/>
        </w:rPr>
        <w:t> </w:t>
      </w:r>
      <w:r>
        <w:rPr/>
        <w:t>(92.1)</w:t>
      </w:r>
      <w:r>
        <w:rPr>
          <w:spacing w:val="1"/>
        </w:rPr>
        <w:t> </w:t>
      </w:r>
      <w:r>
        <w:rPr/>
        <w:t>ampicillin</w:t>
      </w:r>
      <w:r>
        <w:rPr>
          <w:spacing w:val="1"/>
        </w:rPr>
        <w:t> </w:t>
      </w:r>
      <w:r>
        <w:rPr/>
        <w:t>(88.6%)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(82.5</w:t>
      </w:r>
      <w:r>
        <w:rPr>
          <w:spacing w:val="51"/>
        </w:rPr>
        <w:t> </w:t>
      </w:r>
      <w:r>
        <w:rPr/>
        <w:t>%).</w:t>
      </w:r>
      <w:r>
        <w:rPr>
          <w:spacing w:val="-47"/>
        </w:rPr>
        <w:t> </w:t>
      </w:r>
      <w:r>
        <w:rPr/>
        <w:t>Better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chloramphenicol</w:t>
      </w:r>
      <w:r>
        <w:rPr>
          <w:spacing w:val="1"/>
        </w:rPr>
        <w:t> </w:t>
      </w:r>
      <w:r>
        <w:rPr/>
        <w:t>(62.3%),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(50.9%)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norfloxacin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tested</w:t>
      </w:r>
      <w:r>
        <w:rPr>
          <w:spacing w:val="-47"/>
        </w:rPr>
        <w:t> </w:t>
      </w:r>
      <w:r>
        <w:rPr/>
        <w:t>drugs</w:t>
      </w:r>
      <w:r>
        <w:rPr>
          <w:spacing w:val="-2"/>
        </w:rPr>
        <w:t> </w:t>
      </w:r>
      <w:r>
        <w:rPr/>
        <w:t>(Table 2).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In the same manner the rates of susceptibility of</w:t>
      </w:r>
      <w:r>
        <w:rPr>
          <w:spacing w:val="1"/>
        </w:rPr>
        <w:t> </w:t>
      </w:r>
      <w:r>
        <w:rPr/>
        <w:t>Gram-positives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6.4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68.1%.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isolates showed high level of resistance (&gt;80%) to</w:t>
      </w:r>
      <w:r>
        <w:rPr>
          <w:spacing w:val="1"/>
        </w:rPr>
        <w:t> </w:t>
      </w:r>
      <w:r>
        <w:rPr/>
        <w:t>co-trimoxazole,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(60-80%)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amoxicillin,</w:t>
      </w:r>
      <w:r>
        <w:rPr>
          <w:spacing w:val="1"/>
        </w:rPr>
        <w:t> </w:t>
      </w:r>
      <w:r>
        <w:rPr/>
        <w:t>chloramphenicol,</w:t>
      </w:r>
      <w:r>
        <w:rPr>
          <w:spacing w:val="1"/>
        </w:rPr>
        <w:t> </w:t>
      </w:r>
      <w:r>
        <w:rPr/>
        <w:t>norfloxacin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(&lt;60%)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Gram-positives,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predominant</w:t>
      </w:r>
      <w:r>
        <w:rPr>
          <w:spacing w:val="1"/>
        </w:rPr>
        <w:t> </w:t>
      </w:r>
      <w:r>
        <w:rPr/>
        <w:t>isolate</w:t>
      </w:r>
      <w:r>
        <w:rPr>
          <w:spacing w:val="26"/>
        </w:rPr>
        <w:t> </w:t>
      </w:r>
      <w:r>
        <w:rPr/>
        <w:t>was</w:t>
      </w:r>
      <w:r>
        <w:rPr>
          <w:spacing w:val="25"/>
        </w:rPr>
        <w:t> </w:t>
      </w:r>
      <w:r>
        <w:rPr>
          <w:i/>
          <w:color w:val="231F1F"/>
        </w:rPr>
        <w:t>Staphylococcus</w:t>
      </w:r>
      <w:r>
        <w:rPr>
          <w:i/>
          <w:color w:val="231F1F"/>
          <w:spacing w:val="24"/>
        </w:rPr>
        <w:t> </w:t>
      </w:r>
      <w:r>
        <w:rPr>
          <w:i/>
          <w:color w:val="231F1F"/>
        </w:rPr>
        <w:t>aureus</w:t>
      </w:r>
      <w:r>
        <w:rPr/>
        <w:t>,</w:t>
      </w:r>
      <w:r>
        <w:rPr>
          <w:spacing w:val="24"/>
        </w:rPr>
        <w:t> </w:t>
      </w:r>
      <w:r>
        <w:rPr/>
        <w:t>21</w:t>
      </w:r>
      <w:r>
        <w:rPr>
          <w:spacing w:val="23"/>
        </w:rPr>
        <w:t> </w:t>
      </w:r>
      <w:r>
        <w:rPr/>
        <w:t>(44.7</w:t>
      </w:r>
      <w:r>
        <w:rPr>
          <w:spacing w:val="25"/>
        </w:rPr>
        <w:t> </w:t>
      </w:r>
      <w:r>
        <w:rPr/>
        <w:t>%</w:t>
      </w:r>
      <w:r>
        <w:rPr>
          <w:spacing w:val="24"/>
        </w:rPr>
        <w:t> </w:t>
      </w:r>
      <w:r>
        <w:rPr/>
        <w:t>of</w:t>
      </w:r>
    </w:p>
    <w:p>
      <w:pPr>
        <w:pStyle w:val="BodyText"/>
        <w:spacing w:line="276" w:lineRule="auto" w:before="91"/>
        <w:ind w:left="200" w:right="118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Gram-positives</w:t>
      </w:r>
      <w:r>
        <w:rPr>
          <w:spacing w:val="1"/>
        </w:rPr>
        <w:t> </w:t>
      </w:r>
      <w:r>
        <w:rPr/>
        <w:t>and,</w:t>
      </w:r>
      <w:r>
        <w:rPr>
          <w:spacing w:val="1"/>
        </w:rPr>
        <w:t> </w:t>
      </w:r>
      <w:r>
        <w:rPr/>
        <w:t>8.4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isolates)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co-</w:t>
      </w:r>
      <w:r>
        <w:rPr>
          <w:spacing w:val="1"/>
        </w:rPr>
        <w:t> </w:t>
      </w:r>
      <w:r>
        <w:rPr/>
        <w:t>trimoxazole</w:t>
      </w:r>
      <w:r>
        <w:rPr>
          <w:spacing w:val="1"/>
        </w:rPr>
        <w:t> </w:t>
      </w:r>
      <w:r>
        <w:rPr/>
        <w:t>(90.5)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amoxicillin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erythromycin</w:t>
      </w:r>
      <w:r>
        <w:rPr>
          <w:spacing w:val="1"/>
        </w:rPr>
        <w:t> </w:t>
      </w:r>
      <w:r>
        <w:rPr/>
        <w:t>(61.9%), chloramphenico (71.4%), and tetracycline</w:t>
      </w:r>
      <w:r>
        <w:rPr>
          <w:spacing w:val="1"/>
        </w:rPr>
        <w:t> </w:t>
      </w:r>
      <w:r>
        <w:rPr/>
        <w:t>(76.2%).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50"/>
        </w:rPr>
        <w:t> </w:t>
      </w:r>
      <w:r>
        <w:rPr/>
        <w:t>achieved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(61.9%)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ampicilline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norfloxacin (57.1%) compared to other tested drugs</w:t>
      </w:r>
      <w:r>
        <w:rPr>
          <w:spacing w:val="-47"/>
        </w:rPr>
        <w:t> </w:t>
      </w:r>
      <w:r>
        <w:rPr/>
        <w:t>(Table</w:t>
      </w:r>
      <w:r>
        <w:rPr>
          <w:spacing w:val="-1"/>
        </w:rPr>
        <w:t> </w:t>
      </w:r>
      <w:r>
        <w:rPr/>
        <w:t>3).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Discussion</w:t>
      </w:r>
    </w:p>
    <w:p>
      <w:pPr>
        <w:pStyle w:val="BodyText"/>
        <w:spacing w:line="276" w:lineRule="auto" w:before="37"/>
        <w:ind w:left="200" w:right="118"/>
        <w:jc w:val="both"/>
      </w:pPr>
      <w:r>
        <w:rPr/>
        <w:t>The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bacteriuria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25.6%. This was higher than the 10.9% from the</w:t>
      </w:r>
      <w:r>
        <w:rPr>
          <w:spacing w:val="1"/>
        </w:rPr>
        <w:t> </w:t>
      </w:r>
      <w:r>
        <w:rPr/>
        <w:t>study in Aligarh, India</w:t>
      </w:r>
      <w:r>
        <w:rPr>
          <w:vertAlign w:val="superscript"/>
        </w:rPr>
        <w:t>15</w:t>
      </w:r>
      <w:r>
        <w:rPr>
          <w:vertAlign w:val="baseline"/>
        </w:rPr>
        <w:t> and lower than the 71.1%</w:t>
      </w:r>
      <w:r>
        <w:rPr>
          <w:spacing w:val="1"/>
          <w:vertAlign w:val="baseline"/>
        </w:rPr>
        <w:t> </w:t>
      </w:r>
      <w:r>
        <w:rPr>
          <w:vertAlign w:val="baseline"/>
        </w:rPr>
        <w:t>western Nepal</w:t>
      </w:r>
      <w:r>
        <w:rPr>
          <w:vertAlign w:val="superscript"/>
        </w:rPr>
        <w:t>16</w:t>
      </w:r>
      <w:r>
        <w:rPr>
          <w:vertAlign w:val="baseline"/>
        </w:rPr>
        <w:t> and comparable to Previous report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Gondar</w:t>
      </w:r>
      <w:r>
        <w:rPr>
          <w:spacing w:val="1"/>
          <w:vertAlign w:val="baseline"/>
        </w:rPr>
        <w:t> </w:t>
      </w:r>
      <w:r>
        <w:rPr>
          <w:vertAlign w:val="baseline"/>
        </w:rPr>
        <w:t>(28.1%)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isolates,</w:t>
      </w:r>
      <w:r>
        <w:rPr>
          <w:spacing w:val="1"/>
          <w:vertAlign w:val="baseline"/>
        </w:rPr>
        <w:t> </w:t>
      </w:r>
      <w:r>
        <w:rPr>
          <w:vertAlign w:val="baseline"/>
        </w:rPr>
        <w:t>gram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 bacteria compromised 81.2%. The 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 organisms were </w:t>
      </w:r>
      <w:r>
        <w:rPr>
          <w:i/>
          <w:color w:val="231F1F"/>
          <w:vertAlign w:val="baseline"/>
        </w:rPr>
        <w:t>Escherichia coli </w:t>
      </w:r>
      <w:r>
        <w:rPr>
          <w:vertAlign w:val="baseline"/>
        </w:rPr>
        <w:t>(45.6%)</w:t>
      </w:r>
      <w:r>
        <w:rPr>
          <w:spacing w:val="1"/>
          <w:vertAlign w:val="baseline"/>
        </w:rPr>
        <w:t> </w:t>
      </w:r>
      <w:r>
        <w:rPr>
          <w:vertAlign w:val="baseline"/>
        </w:rPr>
        <w:t>and </w:t>
      </w:r>
      <w:r>
        <w:rPr>
          <w:i/>
          <w:color w:val="231F1F"/>
          <w:vertAlign w:val="baseline"/>
        </w:rPr>
        <w:t>Klebsiella pneumoniae </w:t>
      </w:r>
      <w:r>
        <w:rPr>
          <w:vertAlign w:val="baseline"/>
        </w:rPr>
        <w:t>(8.8%). This finding is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in agreement with earlier</w:t>
      </w:r>
      <w:r>
        <w:rPr>
          <w:vertAlign w:val="baseline"/>
        </w:rPr>
        <w:t> </w:t>
      </w:r>
      <w:r>
        <w:rPr>
          <w:spacing w:val="-1"/>
          <w:vertAlign w:val="baseline"/>
        </w:rPr>
        <w:t>reports </w:t>
      </w:r>
      <w:r>
        <w:rPr>
          <w:vertAlign w:val="superscript"/>
        </w:rPr>
        <w:t>6,</w:t>
      </w:r>
      <w:r>
        <w:rPr>
          <w:vertAlign w:val="baseline"/>
        </w:rPr>
        <w:t> </w:t>
      </w:r>
      <w:r>
        <w:rPr>
          <w:vertAlign w:val="superscript"/>
        </w:rPr>
        <w:t>8,</w:t>
      </w:r>
      <w:r>
        <w:rPr>
          <w:vertAlign w:val="baseline"/>
        </w:rPr>
        <w:t> </w:t>
      </w:r>
      <w:r>
        <w:rPr>
          <w:vertAlign w:val="superscript"/>
        </w:rPr>
        <w:t>17,18</w:t>
      </w:r>
      <w:r>
        <w:rPr>
          <w:vertAlign w:val="baseline"/>
        </w:rPr>
        <w:t> which</w:t>
      </w:r>
      <w:r>
        <w:rPr>
          <w:spacing w:val="-47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same</w:t>
      </w:r>
      <w:r>
        <w:rPr>
          <w:spacing w:val="1"/>
          <w:vertAlign w:val="baseline"/>
        </w:rPr>
        <w:t> </w:t>
      </w:r>
      <w:r>
        <w:rPr>
          <w:vertAlign w:val="baseline"/>
        </w:rPr>
        <w:t>predominant</w:t>
      </w:r>
      <w:r>
        <w:rPr>
          <w:spacing w:val="1"/>
          <w:vertAlign w:val="baseline"/>
        </w:rPr>
        <w:t> </w:t>
      </w:r>
      <w:r>
        <w:rPr>
          <w:vertAlign w:val="baseline"/>
        </w:rPr>
        <w:t>trend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i/>
          <w:color w:val="231F1F"/>
          <w:vertAlign w:val="baseline"/>
        </w:rPr>
        <w:t>Escherichia coli </w:t>
      </w:r>
      <w:r>
        <w:rPr>
          <w:vertAlign w:val="baseline"/>
        </w:rPr>
        <w:t>infection pattern. Among the gram</w:t>
      </w:r>
      <w:r>
        <w:rPr>
          <w:spacing w:val="-47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isolates,</w:t>
      </w:r>
      <w:r>
        <w:rPr>
          <w:spacing w:val="1"/>
          <w:vertAlign w:val="baseline"/>
        </w:rPr>
        <w:t> </w:t>
      </w:r>
      <w:r>
        <w:rPr>
          <w:i/>
          <w:color w:val="231F1F"/>
          <w:vertAlign w:val="baseline"/>
        </w:rPr>
        <w:t>Staphylococcus</w:t>
      </w:r>
      <w:r>
        <w:rPr>
          <w:i/>
          <w:color w:val="231F1F"/>
          <w:spacing w:val="1"/>
          <w:vertAlign w:val="baseline"/>
        </w:rPr>
        <w:t> </w:t>
      </w:r>
      <w:r>
        <w:rPr>
          <w:i/>
          <w:color w:val="231F1F"/>
          <w:vertAlign w:val="baseline"/>
        </w:rPr>
        <w:t>aureus</w:t>
      </w:r>
      <w:r>
        <w:rPr>
          <w:i/>
          <w:color w:val="231F1F"/>
          <w:spacing w:val="50"/>
          <w:vertAlign w:val="baseline"/>
        </w:rPr>
        <w:t> </w:t>
      </w:r>
      <w:r>
        <w:rPr>
          <w:vertAlign w:val="baseline"/>
        </w:rPr>
        <w:t>(8.4%)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one.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agrees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previous studies</w:t>
      </w:r>
      <w:r>
        <w:rPr>
          <w:vertAlign w:val="superscript"/>
        </w:rPr>
        <w:t>6,</w:t>
      </w:r>
      <w:r>
        <w:rPr>
          <w:vertAlign w:val="baseline"/>
        </w:rPr>
        <w:t> </w:t>
      </w:r>
      <w:r>
        <w:rPr>
          <w:vertAlign w:val="superscript"/>
        </w:rPr>
        <w:t>8,</w:t>
      </w:r>
      <w:r>
        <w:rPr>
          <w:vertAlign w:val="baseline"/>
        </w:rPr>
        <w:t> </w:t>
      </w:r>
      <w:r>
        <w:rPr>
          <w:vertAlign w:val="superscript"/>
        </w:rPr>
        <w:t>17</w:t>
      </w:r>
      <w:r>
        <w:rPr>
          <w:vertAlign w:val="baseline"/>
        </w:rPr>
        <w:t> which observed an increasing</w:t>
      </w:r>
      <w:r>
        <w:rPr>
          <w:spacing w:val="-47"/>
          <w:vertAlign w:val="baseline"/>
        </w:rPr>
        <w:t> </w:t>
      </w:r>
      <w:r>
        <w:rPr>
          <w:vertAlign w:val="baseline"/>
        </w:rPr>
        <w:t>trend in the prevalence of </w:t>
      </w:r>
      <w:r>
        <w:rPr>
          <w:i/>
          <w:color w:val="231F1F"/>
          <w:vertAlign w:val="baseline"/>
        </w:rPr>
        <w:t>Staphylococcus aureus</w:t>
      </w:r>
      <w:r>
        <w:rPr>
          <w:i/>
          <w:color w:val="231F1F"/>
          <w:spacing w:val="1"/>
          <w:vertAlign w:val="baseline"/>
        </w:rPr>
        <w:t> </w:t>
      </w:r>
      <w:r>
        <w:rPr>
          <w:vertAlign w:val="baseline"/>
        </w:rPr>
        <w:t>infection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among</w:t>
      </w:r>
      <w:r>
        <w:rPr>
          <w:spacing w:val="1"/>
          <w:vertAlign w:val="baseline"/>
        </w:rPr>
        <w:t> </w:t>
      </w:r>
      <w:r>
        <w:rPr>
          <w:vertAlign w:val="baseline"/>
        </w:rPr>
        <w:t>symptomatic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asymptomatic patients. Other organisms that were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isolated include: coagulase-negative </w:t>
      </w:r>
      <w:r>
        <w:rPr>
          <w:i/>
          <w:vertAlign w:val="baseline"/>
        </w:rPr>
        <w:t>Staphylococci</w:t>
      </w:r>
      <w:r>
        <w:rPr>
          <w:vertAlign w:val="baseline"/>
        </w:rPr>
        <w:t>,</w:t>
      </w:r>
      <w:r>
        <w:rPr>
          <w:spacing w:val="-47"/>
          <w:vertAlign w:val="baseline"/>
        </w:rPr>
        <w:t> </w:t>
      </w:r>
      <w:r>
        <w:rPr>
          <w:i/>
          <w:color w:val="231F1F"/>
          <w:vertAlign w:val="baseline"/>
        </w:rPr>
        <w:t>Klebsiella</w:t>
      </w:r>
      <w:r>
        <w:rPr>
          <w:i/>
          <w:color w:val="231F1F"/>
          <w:spacing w:val="1"/>
          <w:vertAlign w:val="baseline"/>
        </w:rPr>
        <w:t> </w:t>
      </w:r>
      <w:r>
        <w:rPr>
          <w:vertAlign w:val="baseline"/>
        </w:rPr>
        <w:t>species,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Proteus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species,</w:t>
      </w:r>
      <w:r>
        <w:rPr>
          <w:spacing w:val="1"/>
          <w:vertAlign w:val="baseline"/>
        </w:rPr>
        <w:t> </w:t>
      </w:r>
      <w:r>
        <w:rPr>
          <w:i/>
          <w:color w:val="231F1F"/>
          <w:vertAlign w:val="baseline"/>
        </w:rPr>
        <w:t>Citrobacter</w:t>
      </w:r>
      <w:r>
        <w:rPr>
          <w:i/>
          <w:color w:val="231F1F"/>
          <w:spacing w:val="1"/>
          <w:vertAlign w:val="baseline"/>
        </w:rPr>
        <w:t> </w:t>
      </w:r>
      <w:r>
        <w:rPr>
          <w:vertAlign w:val="baseline"/>
        </w:rPr>
        <w:t>species,</w:t>
      </w:r>
      <w:r>
        <w:rPr>
          <w:spacing w:val="1"/>
          <w:vertAlign w:val="baseline"/>
        </w:rPr>
        <w:t> </w:t>
      </w:r>
      <w:r>
        <w:rPr>
          <w:i/>
          <w:color w:val="231F1F"/>
          <w:vertAlign w:val="baseline"/>
        </w:rPr>
        <w:t>Providencia</w:t>
      </w:r>
      <w:r>
        <w:rPr>
          <w:i/>
          <w:color w:val="231F1F"/>
          <w:spacing w:val="1"/>
          <w:vertAlign w:val="baseline"/>
        </w:rPr>
        <w:t> </w:t>
      </w:r>
      <w:r>
        <w:rPr>
          <w:vertAlign w:val="baseline"/>
        </w:rPr>
        <w:t>species,</w:t>
      </w:r>
      <w:r>
        <w:rPr>
          <w:i/>
          <w:color w:val="231F1F"/>
          <w:vertAlign w:val="baseline"/>
        </w:rPr>
        <w:t>Pseudomonas</w:t>
      </w:r>
      <w:r>
        <w:rPr>
          <w:i/>
          <w:color w:val="231F1F"/>
          <w:spacing w:val="-47"/>
          <w:vertAlign w:val="baseline"/>
        </w:rPr>
        <w:t> </w:t>
      </w:r>
      <w:r>
        <w:rPr>
          <w:i/>
          <w:color w:val="231F1F"/>
          <w:vertAlign w:val="baseline"/>
        </w:rPr>
        <w:t>aeruginosa</w:t>
      </w:r>
      <w:r>
        <w:rPr>
          <w:i/>
          <w:color w:val="231F1F"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others</w:t>
      </w:r>
      <w:r>
        <w:rPr>
          <w:spacing w:val="1"/>
          <w:vertAlign w:val="baseline"/>
        </w:rPr>
        <w:t> </w:t>
      </w:r>
      <w:r>
        <w:rPr>
          <w:vertAlign w:val="baseline"/>
        </w:rPr>
        <w:t>(Table</w:t>
      </w:r>
      <w:r>
        <w:rPr>
          <w:spacing w:val="1"/>
          <w:vertAlign w:val="baseline"/>
        </w:rPr>
        <w:t> </w:t>
      </w:r>
      <w:r>
        <w:rPr>
          <w:vertAlign w:val="baseline"/>
        </w:rPr>
        <w:t>1).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-2"/>
          <w:vertAlign w:val="baseline"/>
        </w:rPr>
        <w:t> </w:t>
      </w:r>
      <w:r>
        <w:rPr>
          <w:vertAlign w:val="baseline"/>
        </w:rPr>
        <w:t>organisms</w:t>
      </w:r>
      <w:r>
        <w:rPr>
          <w:spacing w:val="-1"/>
          <w:vertAlign w:val="baseline"/>
        </w:rPr>
        <w:t> </w:t>
      </w:r>
      <w:r>
        <w:rPr>
          <w:vertAlign w:val="baseline"/>
        </w:rPr>
        <w:t>causing</w:t>
      </w:r>
      <w:r>
        <w:rPr>
          <w:spacing w:val="1"/>
          <w:vertAlign w:val="baseline"/>
        </w:rPr>
        <w:t> </w:t>
      </w:r>
      <w:r>
        <w:rPr>
          <w:vertAlign w:val="baseline"/>
        </w:rPr>
        <w:t>UTI</w:t>
      </w:r>
      <w:r>
        <w:rPr>
          <w:vertAlign w:val="superscript"/>
        </w:rPr>
        <w:t>19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5" w:space="477"/>
            <w:col w:w="4478"/>
          </w:cols>
        </w:sectPr>
      </w:pPr>
    </w:p>
    <w:p>
      <w:pPr>
        <w:pStyle w:val="Heading1"/>
        <w:spacing w:before="65"/>
        <w:ind w:left="100" w:right="0"/>
        <w:jc w:val="left"/>
      </w:pPr>
      <w:r>
        <w:rPr/>
        <w:t>88</w:t>
      </w:r>
    </w:p>
    <w:p>
      <w:pPr>
        <w:spacing w:line="226" w:lineRule="exact" w:before="0"/>
        <w:ind w:left="428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 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[84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91]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/>
        <w:ind w:left="2991"/>
        <w:jc w:val="left"/>
      </w:pPr>
      <w:r>
        <w:rPr/>
        <w:pict>
          <v:shape style="position:absolute;margin-left:143.879013pt;margin-top:17.725935pt;width:554.050pt;height:.4pt;mso-position-horizontal-relative:page;mso-position-vertical-relative:paragraph;z-index:-15725056;mso-wrap-distance-left:0;mso-wrap-distance-right:0" coordorigin="2878,355" coordsize="11081,8" path="m4946,355l2878,355,2878,362,4946,362,4946,355xm4956,355l4949,355,4949,362,4956,362,4956,355xm6298,355l4958,355,4958,362,6298,362,6298,355xm6307,355l6300,355,6300,362,6307,362,6307,355xm6634,355l6310,355,6310,362,6634,362,6634,355xm6643,355l6636,355,6636,362,6643,362,6643,355xm13958,355l6646,355,6646,362,13958,362,13958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Antimicrobial</w:t>
      </w:r>
      <w:r>
        <w:rPr>
          <w:spacing w:val="-2"/>
        </w:rPr>
        <w:t> </w:t>
      </w:r>
      <w:r>
        <w:rPr/>
        <w:t>susceptibility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Gram</w:t>
      </w:r>
      <w:r>
        <w:rPr>
          <w:spacing w:val="-3"/>
        </w:rPr>
        <w:t> </w:t>
      </w:r>
      <w:r>
        <w:rPr/>
        <w:t>negative</w:t>
      </w:r>
      <w:r>
        <w:rPr>
          <w:spacing w:val="-4"/>
        </w:rPr>
        <w:t> </w:t>
      </w:r>
      <w:r>
        <w:rPr/>
        <w:t>bacteria</w:t>
      </w:r>
      <w:r>
        <w:rPr>
          <w:spacing w:val="-2"/>
        </w:rPr>
        <w:t> </w:t>
      </w:r>
      <w:r>
        <w:rPr/>
        <w:t>isolates</w:t>
      </w:r>
      <w:r>
        <w:rPr>
          <w:spacing w:val="-6"/>
        </w:rPr>
        <w:t> </w:t>
      </w:r>
      <w:r>
        <w:rPr/>
        <w:t>from</w:t>
      </w:r>
      <w:r>
        <w:rPr>
          <w:spacing w:val="-8"/>
        </w:rPr>
        <w:t> </w:t>
      </w:r>
      <w:r>
        <w:rPr/>
        <w:t>UTIs</w:t>
      </w:r>
    </w:p>
    <w:p>
      <w:pPr>
        <w:tabs>
          <w:tab w:pos="3716" w:val="left" w:leader="none"/>
          <w:tab w:pos="7568" w:val="left" w:leader="none"/>
        </w:tabs>
        <w:spacing w:before="0" w:after="10"/>
        <w:ind w:left="1871" w:right="0" w:firstLine="0"/>
        <w:jc w:val="left"/>
        <w:rPr>
          <w:b/>
          <w:sz w:val="18"/>
        </w:rPr>
      </w:pPr>
      <w:r>
        <w:rPr>
          <w:b/>
          <w:sz w:val="18"/>
        </w:rPr>
        <w:t>Organism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isolated</w:t>
        <w:tab/>
        <w:t>Number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tested</w:t>
        <w:tab/>
        <w:t>Antimicrobial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Susceptibility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N</w:t>
      </w:r>
      <w:r>
        <w:rPr>
          <w:b/>
          <w:sz w:val="18"/>
          <w:u w:val="single"/>
        </w:rPr>
        <w:t>o(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%)</w:t>
      </w:r>
    </w:p>
    <w:tbl>
      <w:tblPr>
        <w:tblW w:w="0" w:type="auto"/>
        <w:jc w:val="left"/>
        <w:tblInd w:w="1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6"/>
        <w:gridCol w:w="880"/>
        <w:gridCol w:w="925"/>
        <w:gridCol w:w="889"/>
        <w:gridCol w:w="965"/>
        <w:gridCol w:w="859"/>
        <w:gridCol w:w="962"/>
        <w:gridCol w:w="913"/>
      </w:tblGrid>
      <w:tr>
        <w:trPr>
          <w:trHeight w:val="237" w:hRule="atLeast"/>
        </w:trPr>
        <w:tc>
          <w:tcPr>
            <w:tcW w:w="46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0"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AMOX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AMP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CAF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91"/>
              <w:rPr>
                <w:b/>
                <w:sz w:val="18"/>
              </w:rPr>
            </w:pPr>
            <w:r>
              <w:rPr>
                <w:b/>
                <w:sz w:val="18"/>
              </w:rPr>
              <w:t>CIP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90"/>
              <w:rPr>
                <w:b/>
                <w:sz w:val="18"/>
              </w:rPr>
            </w:pPr>
            <w:r>
              <w:rPr>
                <w:b/>
                <w:sz w:val="18"/>
              </w:rPr>
              <w:t>ERY</w:t>
            </w: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77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95"/>
              <w:rPr>
                <w:b/>
                <w:sz w:val="18"/>
              </w:rPr>
            </w:pPr>
            <w:r>
              <w:rPr>
                <w:b/>
                <w:sz w:val="18"/>
              </w:rPr>
              <w:t>NOR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271"/>
              <w:rPr>
                <w:b/>
                <w:sz w:val="18"/>
              </w:rPr>
            </w:pPr>
            <w:r>
              <w:rPr>
                <w:b/>
                <w:sz w:val="18"/>
              </w:rPr>
              <w:t>TTC</w:t>
            </w:r>
          </w:p>
        </w:tc>
      </w:tr>
    </w:tbl>
    <w:p>
      <w:pPr>
        <w:spacing w:after="0" w:line="240" w:lineRule="auto"/>
        <w:rPr>
          <w:sz w:val="18"/>
        </w:rPr>
        <w:sectPr>
          <w:footerReference w:type="default" r:id="rId9"/>
          <w:pgSz w:w="16840" w:h="11910" w:orient="landscape"/>
          <w:pgMar w:footer="0" w:header="0" w:top="640" w:bottom="280" w:left="1340" w:right="2420"/>
        </w:sectPr>
      </w:pPr>
    </w:p>
    <w:p>
      <w:pPr>
        <w:tabs>
          <w:tab w:pos="326" w:val="left" w:leader="none"/>
        </w:tabs>
        <w:spacing w:line="201" w:lineRule="exact" w:before="0"/>
        <w:ind w:left="0" w:right="0" w:firstLine="0"/>
        <w:jc w:val="right"/>
        <w:rPr>
          <w:sz w:val="18"/>
        </w:rPr>
      </w:pPr>
      <w:r>
        <w:rPr/>
        <w:pict>
          <v:shape style="position:absolute;margin-left:143.520004pt;margin-top:0pt;width:163.25pt;height:357.9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95"/>
                    <w:gridCol w:w="970"/>
                  </w:tblGrid>
                  <w:tr>
                    <w:trPr>
                      <w:trHeight w:val="462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Escherichia</w:t>
                        </w:r>
                        <w:r>
                          <w:rPr>
                            <w:i/>
                            <w:color w:val="231F1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231F1F"/>
                            <w:sz w:val="18"/>
                          </w:rPr>
                          <w:t>coli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114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Klebsiella</w:t>
                        </w:r>
                        <w:r>
                          <w:rPr>
                            <w:i/>
                            <w:color w:val="231F1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231F1F"/>
                            <w:sz w:val="18"/>
                          </w:rPr>
                          <w:t>pneumoniae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3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Proteus</w:t>
                        </w:r>
                        <w:r>
                          <w:rPr>
                            <w:i/>
                            <w:color w:val="231F1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231F1F"/>
                            <w:sz w:val="18"/>
                          </w:rPr>
                          <w:t>mirabilis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3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Klebsiella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3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Citrobacter</w:t>
                        </w:r>
                        <w:r>
                          <w:rPr>
                            <w:i/>
                            <w:color w:val="231F1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3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Providencia</w:t>
                        </w:r>
                        <w:r>
                          <w:rPr>
                            <w:i/>
                            <w:color w:val="231F1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Enterobacter</w:t>
                        </w:r>
                        <w:r>
                          <w:rPr>
                            <w:i/>
                            <w:color w:val="231F1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Pseudomonas</w:t>
                        </w:r>
                        <w:r>
                          <w:rPr>
                            <w:i/>
                            <w:color w:val="231F1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231F1F"/>
                            <w:sz w:val="18"/>
                          </w:rPr>
                          <w:t>aeruginosa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Proteus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231F1F"/>
                            <w:sz w:val="18"/>
                          </w:rPr>
                          <w:t>vulgaris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Morganella</w:t>
                        </w:r>
                        <w:r>
                          <w:rPr>
                            <w:i/>
                            <w:color w:val="231F1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morganii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Salmonella</w:t>
                        </w:r>
                        <w:r>
                          <w:rPr>
                            <w:i/>
                            <w:color w:val="231F1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Shigella</w:t>
                        </w:r>
                        <w:r>
                          <w:rPr>
                            <w:i/>
                            <w:color w:val="231F1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231F1F"/>
                            <w:sz w:val="18"/>
                          </w:rPr>
                          <w:t>Serratia</w:t>
                        </w:r>
                        <w:r>
                          <w:rPr>
                            <w:i/>
                            <w:color w:val="231F1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496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Edwardeseilla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26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487" w:hRule="atLeast"/>
                    </w:trPr>
                    <w:tc>
                      <w:tcPr>
                        <w:tcW w:w="2295" w:type="dxa"/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1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Total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17"/>
                          <w:ind w:lef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S</w:t>
        <w:tab/>
        <w:t>35(30.7)</w:t>
      </w:r>
    </w:p>
    <w:p>
      <w:pPr>
        <w:spacing w:line="201" w:lineRule="exact" w:before="0"/>
        <w:ind w:left="21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13(11.4)</w:t>
      </w:r>
    </w:p>
    <w:p>
      <w:pPr>
        <w:spacing w:line="201" w:lineRule="exact" w:before="0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71(62.3)</w:t>
      </w:r>
    </w:p>
    <w:p>
      <w:pPr>
        <w:spacing w:line="201" w:lineRule="exact" w:before="0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58(50.9)</w:t>
      </w:r>
    </w:p>
    <w:p>
      <w:pPr>
        <w:spacing w:line="201" w:lineRule="exact" w:before="0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9(7.9)</w:t>
      </w:r>
    </w:p>
    <w:p>
      <w:pPr>
        <w:spacing w:line="201" w:lineRule="exact" w:before="0"/>
        <w:ind w:left="44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32(28.1)</w:t>
      </w:r>
    </w:p>
    <w:p>
      <w:pPr>
        <w:spacing w:line="201" w:lineRule="exact" w:before="0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57(50)</w:t>
      </w:r>
    </w:p>
    <w:p>
      <w:pPr>
        <w:spacing w:line="201" w:lineRule="exact" w:before="0"/>
        <w:ind w:left="39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20(17.5)</w:t>
      </w:r>
    </w:p>
    <w:p>
      <w:pPr>
        <w:spacing w:after="0" w:line="201" w:lineRule="exact"/>
        <w:jc w:val="left"/>
        <w:rPr>
          <w:sz w:val="18"/>
        </w:rPr>
        <w:sectPr>
          <w:type w:val="continuous"/>
          <w:pgSz w:w="16840" w:h="11910" w:orient="landscape"/>
          <w:pgMar w:top="620" w:bottom="280" w:left="1340" w:right="2420"/>
          <w:cols w:num="8" w:equalWidth="0">
            <w:col w:w="6023" w:space="40"/>
            <w:col w:w="837" w:space="39"/>
            <w:col w:w="882" w:space="39"/>
            <w:col w:w="882" w:space="40"/>
            <w:col w:w="700" w:space="39"/>
            <w:col w:w="1062" w:space="40"/>
            <w:col w:w="748" w:space="39"/>
            <w:col w:w="1670"/>
          </w:cols>
        </w:sectPr>
      </w:pPr>
    </w:p>
    <w:p>
      <w:pPr>
        <w:pStyle w:val="BodyText"/>
        <w:spacing w:before="3"/>
        <w:rPr>
          <w:sz w:val="3"/>
        </w:rPr>
      </w:pPr>
    </w:p>
    <w:tbl>
      <w:tblPr>
        <w:tblW w:w="0" w:type="auto"/>
        <w:jc w:val="left"/>
        <w:tblInd w:w="5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"/>
        <w:gridCol w:w="878"/>
        <w:gridCol w:w="920"/>
        <w:gridCol w:w="921"/>
        <w:gridCol w:w="921"/>
        <w:gridCol w:w="920"/>
        <w:gridCol w:w="920"/>
        <w:gridCol w:w="921"/>
        <w:gridCol w:w="916"/>
      </w:tblGrid>
      <w:tr>
        <w:trPr>
          <w:trHeight w:val="218" w:hRule="atLeast"/>
        </w:trPr>
        <w:tc>
          <w:tcPr>
            <w:tcW w:w="278" w:type="dxa"/>
          </w:tcPr>
          <w:p>
            <w:pPr>
              <w:pStyle w:val="TableParagraph"/>
              <w:spacing w:line="198" w:lineRule="exact" w:before="0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line="198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79(69.3)</w:t>
            </w:r>
          </w:p>
        </w:tc>
        <w:tc>
          <w:tcPr>
            <w:tcW w:w="920" w:type="dxa"/>
          </w:tcPr>
          <w:p>
            <w:pPr>
              <w:pStyle w:val="TableParagraph"/>
              <w:spacing w:line="198" w:lineRule="exact" w:before="0"/>
              <w:ind w:left="106"/>
              <w:rPr>
                <w:sz w:val="18"/>
              </w:rPr>
            </w:pPr>
            <w:r>
              <w:rPr>
                <w:sz w:val="18"/>
              </w:rPr>
              <w:t>101(88.6)</w:t>
            </w:r>
          </w:p>
        </w:tc>
        <w:tc>
          <w:tcPr>
            <w:tcW w:w="921" w:type="dxa"/>
          </w:tcPr>
          <w:p>
            <w:pPr>
              <w:pStyle w:val="TableParagraph"/>
              <w:spacing w:line="198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43(37.7)</w:t>
            </w:r>
          </w:p>
        </w:tc>
        <w:tc>
          <w:tcPr>
            <w:tcW w:w="921" w:type="dxa"/>
          </w:tcPr>
          <w:p>
            <w:pPr>
              <w:pStyle w:val="TableParagraph"/>
              <w:spacing w:line="198" w:lineRule="exact" w:before="0"/>
              <w:rPr>
                <w:sz w:val="18"/>
              </w:rPr>
            </w:pPr>
            <w:r>
              <w:rPr>
                <w:sz w:val="18"/>
              </w:rPr>
              <w:t>56(49.1)</w:t>
            </w:r>
          </w:p>
        </w:tc>
        <w:tc>
          <w:tcPr>
            <w:tcW w:w="920" w:type="dxa"/>
          </w:tcPr>
          <w:p>
            <w:pPr>
              <w:pStyle w:val="TableParagraph"/>
              <w:spacing w:line="198" w:lineRule="exact" w:before="0"/>
              <w:rPr>
                <w:sz w:val="18"/>
              </w:rPr>
            </w:pPr>
            <w:r>
              <w:rPr>
                <w:sz w:val="18"/>
              </w:rPr>
              <w:t>105(92.1)</w:t>
            </w:r>
          </w:p>
        </w:tc>
        <w:tc>
          <w:tcPr>
            <w:tcW w:w="920" w:type="dxa"/>
          </w:tcPr>
          <w:p>
            <w:pPr>
              <w:pStyle w:val="TableParagraph"/>
              <w:spacing w:line="198" w:lineRule="exact" w:before="0"/>
              <w:rPr>
                <w:sz w:val="18"/>
              </w:rPr>
            </w:pPr>
            <w:r>
              <w:rPr>
                <w:sz w:val="18"/>
              </w:rPr>
              <w:t>82(71.9)</w:t>
            </w:r>
          </w:p>
        </w:tc>
        <w:tc>
          <w:tcPr>
            <w:tcW w:w="921" w:type="dxa"/>
          </w:tcPr>
          <w:p>
            <w:pPr>
              <w:pStyle w:val="TableParagraph"/>
              <w:spacing w:line="198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57(50)</w:t>
            </w:r>
          </w:p>
        </w:tc>
        <w:tc>
          <w:tcPr>
            <w:tcW w:w="916" w:type="dxa"/>
          </w:tcPr>
          <w:p>
            <w:pPr>
              <w:pStyle w:val="TableParagraph"/>
              <w:spacing w:line="198" w:lineRule="exact" w:before="0"/>
              <w:ind w:left="110"/>
              <w:rPr>
                <w:sz w:val="18"/>
              </w:rPr>
            </w:pPr>
            <w:r>
              <w:rPr>
                <w:sz w:val="18"/>
              </w:rPr>
              <w:t>94(82.5)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line="240" w:lineRule="auto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4(18.2)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18(81.8)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18(81.8)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3(16.7)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15(66.7)</w:t>
            </w:r>
          </w:p>
        </w:tc>
        <w:tc>
          <w:tcPr>
            <w:tcW w:w="916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3(12.5)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18(81.8)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ind w:left="106"/>
              <w:rPr>
                <w:sz w:val="18"/>
              </w:rPr>
            </w:pPr>
            <w:r>
              <w:rPr>
                <w:sz w:val="18"/>
              </w:rPr>
              <w:t>22(100)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4(18.2)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4(18.2)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19(83.3)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22(100)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9"/>
              <w:rPr>
                <w:sz w:val="18"/>
              </w:rPr>
            </w:pPr>
            <w:r>
              <w:rPr>
                <w:sz w:val="18"/>
              </w:rPr>
              <w:t>7(33.3)</w:t>
            </w:r>
          </w:p>
        </w:tc>
        <w:tc>
          <w:tcPr>
            <w:tcW w:w="916" w:type="dxa"/>
          </w:tcPr>
          <w:p>
            <w:pPr>
              <w:pStyle w:val="TableParagraph"/>
              <w:spacing w:before="12"/>
              <w:ind w:left="110"/>
              <w:rPr>
                <w:sz w:val="18"/>
              </w:rPr>
            </w:pPr>
            <w:r>
              <w:rPr>
                <w:sz w:val="18"/>
              </w:rPr>
              <w:t>19(83.3)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10(100)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2(20)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8(80)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1(10)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2(20)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5(50)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10(100)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8(80)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2(20)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9(90)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8(80)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5(50)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10(100)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3(30)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8(80)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2(20)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8(80)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3(30)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10(100)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7(70)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10(100)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2(20)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8(80)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10(100)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2(20)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7(70)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line="240" w:lineRule="auto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3(30)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3(30)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3(30)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6(60)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2(20)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3(30)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7(70)</w:t>
            </w:r>
          </w:p>
        </w:tc>
        <w:tc>
          <w:tcPr>
            <w:tcW w:w="916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7(70)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ind w:left="106"/>
              <w:rPr>
                <w:sz w:val="18"/>
              </w:rPr>
            </w:pPr>
            <w:r>
              <w:rPr>
                <w:sz w:val="18"/>
              </w:rPr>
              <w:t>7(70)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7(70)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4(40)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8(80)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7(70)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9"/>
              <w:rPr>
                <w:sz w:val="18"/>
              </w:rPr>
            </w:pPr>
            <w:r>
              <w:rPr>
                <w:sz w:val="18"/>
              </w:rPr>
              <w:t>3(30)</w:t>
            </w:r>
          </w:p>
        </w:tc>
        <w:tc>
          <w:tcPr>
            <w:tcW w:w="916" w:type="dxa"/>
          </w:tcPr>
          <w:p>
            <w:pPr>
              <w:pStyle w:val="TableParagraph"/>
              <w:spacing w:before="12"/>
              <w:ind w:left="110"/>
              <w:rPr>
                <w:sz w:val="18"/>
              </w:rPr>
            </w:pPr>
            <w:r>
              <w:rPr>
                <w:sz w:val="18"/>
              </w:rPr>
              <w:t>10(100)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2(22.2)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2(22.2)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4(44.4)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1(11.1)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3(33.3)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5(55.6)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6(66.7)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9(100)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7(77.8)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7(77.8)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5(55.6)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8(88.9)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6(66.7)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4(44.4)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3(33.3)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3(33.3)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8(88.9)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2(22.2)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1(11.1)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5(55.6)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line="240" w:lineRule="auto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9(100)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9(100)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6(66.7)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1(11.1)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7(77.8)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8(88.9)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4(44.4)</w:t>
            </w:r>
          </w:p>
        </w:tc>
        <w:tc>
          <w:tcPr>
            <w:tcW w:w="916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9(100)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before="12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1(25)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9"/>
              <w:rPr>
                <w:sz w:val="18"/>
              </w:rPr>
            </w:pPr>
            <w:r>
              <w:rPr>
                <w:sz w:val="18"/>
              </w:rPr>
              <w:t>4(25)</w:t>
            </w:r>
          </w:p>
        </w:tc>
        <w:tc>
          <w:tcPr>
            <w:tcW w:w="916" w:type="dxa"/>
          </w:tcPr>
          <w:p>
            <w:pPr>
              <w:pStyle w:val="TableParagraph"/>
              <w:spacing w:before="12"/>
              <w:ind w:left="110"/>
              <w:rPr>
                <w:sz w:val="18"/>
              </w:rPr>
            </w:pPr>
            <w:r>
              <w:rPr>
                <w:sz w:val="18"/>
              </w:rPr>
              <w:t>1(25)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3(75)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3(75)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1(25)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2(50)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1(25)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2(50)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2(50)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3(75)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2(50)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3(75)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2(50)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2(50)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4(100)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line="240" w:lineRule="auto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16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before="12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9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16" w:type="dxa"/>
          </w:tcPr>
          <w:p>
            <w:pPr>
              <w:pStyle w:val="TableParagraph"/>
              <w:spacing w:before="12"/>
              <w:ind w:left="110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2(66.7)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1(33.3)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3(100)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line="240" w:lineRule="auto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16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38" w:hRule="atLeast"/>
        </w:trPr>
        <w:tc>
          <w:tcPr>
            <w:tcW w:w="278" w:type="dxa"/>
          </w:tcPr>
          <w:p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ind w:left="106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0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1" w:type="dxa"/>
          </w:tcPr>
          <w:p>
            <w:pPr>
              <w:pStyle w:val="TableParagraph"/>
              <w:spacing w:before="12"/>
              <w:ind w:left="109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16" w:type="dxa"/>
          </w:tcPr>
          <w:p>
            <w:pPr>
              <w:pStyle w:val="TableParagraph"/>
              <w:spacing w:before="12"/>
              <w:ind w:left="110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</w:tr>
      <w:tr>
        <w:trPr>
          <w:trHeight w:val="237" w:hRule="atLeast"/>
        </w:trPr>
        <w:tc>
          <w:tcPr>
            <w:tcW w:w="27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1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16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242" w:hRule="atLeast"/>
        </w:trPr>
        <w:tc>
          <w:tcPr>
            <w:tcW w:w="278" w:type="dxa"/>
          </w:tcPr>
          <w:p>
            <w:pPr>
              <w:pStyle w:val="TableParagraph"/>
              <w:spacing w:line="240" w:lineRule="auto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916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</w:tr>
      <w:tr>
        <w:trPr>
          <w:trHeight w:val="242" w:hRule="atLeast"/>
        </w:trPr>
        <w:tc>
          <w:tcPr>
            <w:tcW w:w="278" w:type="dxa"/>
          </w:tcPr>
          <w:p>
            <w:pPr>
              <w:pStyle w:val="TableParagraph"/>
              <w:spacing w:before="16"/>
              <w:ind w:left="59"/>
              <w:rPr>
                <w:sz w:val="18"/>
              </w:rPr>
            </w:pPr>
            <w:r>
              <w:rPr>
                <w:w w:val="99"/>
                <w:sz w:val="18"/>
              </w:rPr>
              <w:t>S</w:t>
            </w:r>
          </w:p>
        </w:tc>
        <w:tc>
          <w:tcPr>
            <w:tcW w:w="878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73(36)</w:t>
            </w:r>
          </w:p>
        </w:tc>
        <w:tc>
          <w:tcPr>
            <w:tcW w:w="920" w:type="dxa"/>
          </w:tcPr>
          <w:p>
            <w:pPr>
              <w:pStyle w:val="TableParagraph"/>
              <w:spacing w:before="16"/>
              <w:ind w:left="106"/>
              <w:rPr>
                <w:sz w:val="18"/>
              </w:rPr>
            </w:pPr>
            <w:r>
              <w:rPr>
                <w:sz w:val="18"/>
              </w:rPr>
              <w:t>23(11.3)</w:t>
            </w:r>
          </w:p>
        </w:tc>
        <w:tc>
          <w:tcPr>
            <w:tcW w:w="921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106(52.2)</w:t>
            </w:r>
          </w:p>
        </w:tc>
        <w:tc>
          <w:tcPr>
            <w:tcW w:w="921" w:type="dxa"/>
          </w:tcPr>
          <w:p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123(60.6)</w:t>
            </w:r>
          </w:p>
        </w:tc>
        <w:tc>
          <w:tcPr>
            <w:tcW w:w="920" w:type="dxa"/>
          </w:tcPr>
          <w:p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22(10.8)</w:t>
            </w:r>
          </w:p>
        </w:tc>
        <w:tc>
          <w:tcPr>
            <w:tcW w:w="920" w:type="dxa"/>
          </w:tcPr>
          <w:p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44(21.7)</w:t>
            </w:r>
          </w:p>
        </w:tc>
        <w:tc>
          <w:tcPr>
            <w:tcW w:w="921" w:type="dxa"/>
          </w:tcPr>
          <w:p>
            <w:pPr>
              <w:pStyle w:val="TableParagraph"/>
              <w:spacing w:before="16"/>
              <w:ind w:left="109"/>
              <w:rPr>
                <w:sz w:val="18"/>
              </w:rPr>
            </w:pPr>
            <w:r>
              <w:rPr>
                <w:sz w:val="18"/>
              </w:rPr>
              <w:t>111(54.7)</w:t>
            </w:r>
          </w:p>
        </w:tc>
        <w:tc>
          <w:tcPr>
            <w:tcW w:w="916" w:type="dxa"/>
          </w:tcPr>
          <w:p>
            <w:pPr>
              <w:pStyle w:val="TableParagraph"/>
              <w:spacing w:line="20" w:lineRule="exact" w:before="0"/>
              <w:ind w:left="11" w:right="-72"/>
              <w:rPr>
                <w:sz w:val="2"/>
              </w:rPr>
            </w:pPr>
            <w:r>
              <w:rPr>
                <w:sz w:val="2"/>
              </w:rPr>
              <w:pict>
                <v:group style="width:45.5pt;height:.4pt;mso-position-horizontal-relative:char;mso-position-vertical-relative:line" coordorigin="0,0" coordsize="910,8">
                  <v:rect style="position:absolute;left:0;top:0;width:910;height:8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02" w:lineRule="exact" w:before="0"/>
              <w:ind w:left="110"/>
              <w:rPr>
                <w:sz w:val="18"/>
              </w:rPr>
            </w:pPr>
            <w:r>
              <w:rPr>
                <w:sz w:val="18"/>
              </w:rPr>
              <w:t>35(17.2)</w:t>
            </w:r>
          </w:p>
        </w:tc>
      </w:tr>
      <w:tr>
        <w:trPr>
          <w:trHeight w:val="263" w:hRule="atLeast"/>
        </w:trPr>
        <w:tc>
          <w:tcPr>
            <w:tcW w:w="278" w:type="dxa"/>
          </w:tcPr>
          <w:p>
            <w:pPr>
              <w:pStyle w:val="TableParagraph"/>
              <w:spacing w:line="240" w:lineRule="auto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1309(64)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ind w:left="106"/>
              <w:rPr>
                <w:sz w:val="18"/>
              </w:rPr>
            </w:pPr>
            <w:r>
              <w:rPr>
                <w:sz w:val="18"/>
              </w:rPr>
              <w:t>180(89.7)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97(47.8)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80(39.4)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181(89.2)</w:t>
            </w:r>
          </w:p>
        </w:tc>
        <w:tc>
          <w:tcPr>
            <w:tcW w:w="920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159(78.3)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92(45.3)</w:t>
            </w:r>
          </w:p>
        </w:tc>
        <w:tc>
          <w:tcPr>
            <w:tcW w:w="916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168(82.8)</w:t>
            </w:r>
          </w:p>
        </w:tc>
      </w:tr>
    </w:tbl>
    <w:p>
      <w:pPr>
        <w:pStyle w:val="BodyText"/>
        <w:spacing w:line="229" w:lineRule="exact"/>
        <w:ind w:left="1540"/>
      </w:pPr>
      <w:r>
        <w:rPr/>
        <w:pict>
          <v:shape style="position:absolute;margin-left:143.879013pt;margin-top:-24.681643pt;width:508.45pt;height:.4pt;mso-position-horizontal-relative:page;mso-position-vertical-relative:paragraph;z-index:-16605696" coordorigin="2878,-494" coordsize="10169,8" path="m4946,-494l2878,-494,2878,-486,4946,-486,4946,-494xm4956,-494l4949,-494,4949,-486,4956,-486,4956,-494xm6298,-494l4958,-494,4958,-486,6298,-486,6298,-494xm6307,-494l6300,-494,6300,-486,6307,-486,6307,-494xm6634,-494l6310,-494,6310,-486,6634,-486,6634,-494xm6643,-494l6636,-494,6636,-486,6643,-486,6643,-494xm7510,-494l6646,-494,6646,-486,7510,-486,7510,-494xm7519,-494l7512,-494,7512,-486,7519,-486,7519,-494xm8431,-494l7522,-494,7522,-486,8431,-486,8431,-494xm8441,-494l8434,-494,8434,-486,8441,-486,8441,-494xm9353,-494l8443,-494,8443,-486,9353,-486,9353,-494xm9362,-494l9355,-494,9355,-486,9362,-486,9362,-494xm10274,-494l9365,-494,9365,-486,10274,-486,10274,-494xm10284,-494l10277,-494,10277,-486,10284,-486,10284,-494xm11194,-494l10286,-494,10286,-486,11194,-486,11194,-494xm11203,-494l11196,-494,11196,-486,11203,-486,11203,-494xm12115,-494l11206,-494,11206,-486,12115,-486,12115,-494xm12125,-494l12118,-494,12118,-486,12125,-486,12125,-494xm13037,-494l12127,-494,12127,-486,13037,-486,13037,-494xm13046,-494l13039,-494,13039,-486,13046,-486,13046,-494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143.159012pt;margin-top:-.321642pt;width:554.760026pt;height:.36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/>
        <w:t>S=Susceptible,</w:t>
      </w:r>
      <w:r>
        <w:rPr>
          <w:spacing w:val="-7"/>
        </w:rPr>
        <w:t> </w:t>
      </w:r>
      <w:r>
        <w:rPr/>
        <w:t>R=Resistance</w:t>
      </w:r>
    </w:p>
    <w:p>
      <w:pPr>
        <w:pStyle w:val="BodyText"/>
        <w:spacing w:line="276" w:lineRule="auto" w:before="34"/>
        <w:ind w:left="1540" w:right="3846"/>
      </w:pPr>
      <w:r>
        <w:rPr/>
        <w:t>AMOX=</w:t>
      </w:r>
      <w:r>
        <w:rPr>
          <w:spacing w:val="-2"/>
        </w:rPr>
        <w:t> </w:t>
      </w:r>
      <w:r>
        <w:rPr/>
        <w:t>A</w:t>
      </w:r>
      <w:r>
        <w:rPr>
          <w:color w:val="282426"/>
        </w:rPr>
        <w:t>moxicillin</w:t>
      </w:r>
      <w:r>
        <w:rPr/>
        <w:t>,</w:t>
      </w:r>
      <w:r>
        <w:rPr>
          <w:spacing w:val="-2"/>
        </w:rPr>
        <w:t> </w:t>
      </w:r>
      <w:r>
        <w:rPr/>
        <w:t>AMP</w:t>
      </w:r>
      <w:r>
        <w:rPr>
          <w:spacing w:val="-3"/>
        </w:rPr>
        <w:t> </w:t>
      </w:r>
      <w:r>
        <w:rPr/>
        <w:t>=</w:t>
      </w:r>
      <w:r>
        <w:rPr>
          <w:spacing w:val="-5"/>
        </w:rPr>
        <w:t> </w:t>
      </w:r>
      <w:r>
        <w:rPr/>
        <w:t>A</w:t>
      </w:r>
      <w:r>
        <w:rPr>
          <w:color w:val="282426"/>
        </w:rPr>
        <w:t>mpicillin</w:t>
      </w:r>
      <w:r>
        <w:rPr/>
        <w:t>,</w:t>
      </w:r>
      <w:r>
        <w:rPr>
          <w:spacing w:val="-4"/>
        </w:rPr>
        <w:t> </w:t>
      </w:r>
      <w:r>
        <w:rPr/>
        <w:t>CAF=</w:t>
      </w:r>
      <w:r>
        <w:rPr>
          <w:spacing w:val="-3"/>
        </w:rPr>
        <w:t> </w:t>
      </w:r>
      <w:r>
        <w:rPr>
          <w:color w:val="282426"/>
        </w:rPr>
        <w:t>Chloramphenicol</w:t>
      </w:r>
      <w:r>
        <w:rPr/>
        <w:t>.</w:t>
      </w:r>
      <w:r>
        <w:rPr>
          <w:spacing w:val="-4"/>
        </w:rPr>
        <w:t> </w:t>
      </w:r>
      <w:r>
        <w:rPr/>
        <w:t>,</w:t>
      </w:r>
      <w:r>
        <w:rPr>
          <w:spacing w:val="-4"/>
        </w:rPr>
        <w:t> </w:t>
      </w:r>
      <w:r>
        <w:rPr/>
        <w:t>CIP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>
          <w:color w:val="282426"/>
        </w:rPr>
        <w:t>ciprofloxacin</w:t>
      </w:r>
      <w:r>
        <w:rPr/>
        <w:t>,</w:t>
      </w:r>
      <w:r>
        <w:rPr>
          <w:spacing w:val="-47"/>
        </w:rPr>
        <w:t> </w:t>
      </w:r>
      <w:r>
        <w:rPr/>
        <w:t>ERY=</w:t>
      </w:r>
      <w:r>
        <w:rPr>
          <w:spacing w:val="-4"/>
        </w:rPr>
        <w:t> </w:t>
      </w:r>
      <w:r>
        <w:rPr/>
        <w:t>Erythromycin, Co= </w:t>
      </w:r>
      <w:r>
        <w:rPr>
          <w:color w:val="282426"/>
        </w:rPr>
        <w:t>Co-trimoxazole</w:t>
      </w:r>
      <w:r>
        <w:rPr/>
        <w:t>,</w:t>
      </w:r>
      <w:r>
        <w:rPr>
          <w:spacing w:val="-2"/>
        </w:rPr>
        <w:t> </w:t>
      </w:r>
      <w:r>
        <w:rPr/>
        <w:t>NOR=Norfloxacillin,</w:t>
      </w:r>
      <w:r>
        <w:rPr>
          <w:spacing w:val="-2"/>
        </w:rPr>
        <w:t> </w:t>
      </w:r>
      <w:r>
        <w:rPr/>
        <w:t>TTC=</w:t>
      </w:r>
      <w:r>
        <w:rPr>
          <w:spacing w:val="-5"/>
        </w:rPr>
        <w:t> </w:t>
      </w:r>
      <w:r>
        <w:rPr/>
        <w:t>Tetracycline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before="91"/>
        <w:ind w:left="6453" w:right="5376"/>
        <w:jc w:val="center"/>
      </w:pPr>
      <w:hyperlink r:id="rId6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6840" w:h="11910" w:orient="landscape"/>
          <w:pgMar w:top="620" w:bottom="280" w:left="1340" w:right="2420"/>
        </w:sectPr>
      </w:pPr>
    </w:p>
    <w:p>
      <w:pPr>
        <w:pStyle w:val="Heading1"/>
      </w:pPr>
      <w:r>
        <w:rPr/>
        <w:t>89</w:t>
      </w:r>
    </w:p>
    <w:p>
      <w:pPr>
        <w:spacing w:line="226" w:lineRule="exact" w:before="0"/>
        <w:ind w:left="1819" w:right="183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[84 -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91]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pStyle w:val="Heading3"/>
        <w:spacing w:before="91"/>
        <w:ind w:left="529"/>
        <w:jc w:val="left"/>
      </w:pPr>
      <w:r>
        <w:rPr/>
        <w:pict>
          <v:shape style="position:absolute;margin-left:73.679001pt;margin-top:21.925894pt;width:448pt;height:.4pt;mso-position-horizontal-relative:page;mso-position-vertical-relative:paragraph;z-index:15734784" coordorigin="1474,439" coordsize="8960,8" path="m3221,439l1474,439,1474,446,3221,446,3221,439xm3230,439l3223,439,3223,446,3230,446,3230,439xm4006,439l3233,439,3233,446,4006,446,4006,439xm4015,439l4008,439,4008,446,4015,446,4015,439xm4327,439l4018,439,4018,446,4327,446,4327,439xm4337,439l4330,439,4330,446,4337,446,4337,439xm10433,439l4339,439,4339,446,10433,446,10433,439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Antimicrobial</w:t>
      </w:r>
      <w:r>
        <w:rPr>
          <w:spacing w:val="-2"/>
        </w:rPr>
        <w:t> </w:t>
      </w:r>
      <w:r>
        <w:rPr/>
        <w:t>susceptibility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Gram</w:t>
      </w:r>
      <w:r>
        <w:rPr>
          <w:spacing w:val="-4"/>
        </w:rPr>
        <w:t> </w:t>
      </w:r>
      <w:r>
        <w:rPr/>
        <w:t>positive</w:t>
      </w:r>
      <w:r>
        <w:rPr>
          <w:spacing w:val="-3"/>
        </w:rPr>
        <w:t> </w:t>
      </w:r>
      <w:r>
        <w:rPr/>
        <w:t>bacteria</w:t>
      </w:r>
      <w:r>
        <w:rPr>
          <w:spacing w:val="-2"/>
        </w:rPr>
        <w:t> </w:t>
      </w:r>
      <w:r>
        <w:rPr/>
        <w:t>isolates</w:t>
      </w:r>
      <w:r>
        <w:rPr>
          <w:spacing w:val="-4"/>
        </w:rPr>
        <w:t> </w:t>
      </w:r>
      <w:r>
        <w:rPr/>
        <w:t>from</w:t>
      </w:r>
      <w:r>
        <w:rPr>
          <w:spacing w:val="-8"/>
        </w:rPr>
        <w:t> </w:t>
      </w:r>
      <w:r>
        <w:rPr/>
        <w:t>UTIs.</w:t>
      </w:r>
    </w:p>
    <w:p>
      <w:pPr>
        <w:spacing w:after="0"/>
        <w:jc w:val="left"/>
        <w:sectPr>
          <w:footerReference w:type="default" r:id="rId10"/>
          <w:pgSz w:w="11910" w:h="16840"/>
          <w:pgMar w:footer="748" w:header="0" w:top="620" w:bottom="940" w:left="1340" w:right="1320"/>
        </w:sectPr>
      </w:pPr>
    </w:p>
    <w:p>
      <w:pPr>
        <w:spacing w:line="276" w:lineRule="auto" w:before="127"/>
        <w:ind w:left="767" w:right="-16" w:hanging="101"/>
        <w:jc w:val="left"/>
        <w:rPr>
          <w:b/>
          <w:sz w:val="16"/>
        </w:rPr>
      </w:pPr>
      <w:r>
        <w:rPr>
          <w:b/>
          <w:sz w:val="16"/>
        </w:rPr>
        <w:t>Organism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isolated</w:t>
      </w:r>
    </w:p>
    <w:p>
      <w:pPr>
        <w:spacing w:line="276" w:lineRule="auto" w:before="127"/>
        <w:ind w:left="702" w:right="-14" w:hanging="106"/>
        <w:jc w:val="left"/>
        <w:rPr>
          <w:b/>
          <w:sz w:val="16"/>
        </w:rPr>
      </w:pPr>
      <w:r>
        <w:rPr/>
        <w:br w:type="column"/>
      </w:r>
      <w:r>
        <w:rPr>
          <w:b/>
          <w:spacing w:val="-1"/>
          <w:sz w:val="16"/>
        </w:rPr>
        <w:t>Number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tested</w:t>
      </w:r>
    </w:p>
    <w:p>
      <w:pPr>
        <w:pStyle w:val="BodyText"/>
        <w:spacing w:before="2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1"/>
        <w:ind w:left="235" w:right="0" w:firstLine="0"/>
        <w:jc w:val="center"/>
        <w:rPr>
          <w:b/>
          <w:sz w:val="16"/>
        </w:rPr>
      </w:pPr>
      <w:r>
        <w:rPr>
          <w:b/>
          <w:sz w:val="16"/>
        </w:rPr>
        <w:t>Antimicrobial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Susceptibility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N</w:t>
      </w:r>
      <w:r>
        <w:rPr>
          <w:b/>
          <w:sz w:val="16"/>
          <w:u w:val="single"/>
        </w:rPr>
        <w:t>o(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%)</w:t>
      </w:r>
    </w:p>
    <w:p>
      <w:pPr>
        <w:tabs>
          <w:tab w:pos="985" w:val="left" w:leader="none"/>
          <w:tab w:pos="1765" w:val="left" w:leader="none"/>
          <w:tab w:pos="2555" w:val="left" w:leader="none"/>
          <w:tab w:pos="3287" w:val="left" w:leader="none"/>
          <w:tab w:pos="4101" w:val="left" w:leader="none"/>
          <w:tab w:pos="4806" w:val="left" w:leader="none"/>
          <w:tab w:pos="5581" w:val="left" w:leader="none"/>
        </w:tabs>
        <w:spacing w:before="142"/>
        <w:ind w:left="150" w:right="0" w:firstLine="0"/>
        <w:jc w:val="center"/>
        <w:rPr>
          <w:b/>
          <w:sz w:val="16"/>
        </w:rPr>
      </w:pPr>
      <w:r>
        <w:rPr/>
        <w:pict>
          <v:shape style="position:absolute;margin-left:73.679001pt;margin-top:6.64871pt;width:448pt;height:.4pt;mso-position-horizontal-relative:page;mso-position-vertical-relative:paragraph;z-index:15735296" coordorigin="1474,133" coordsize="8960,8" path="m3221,133l1474,133,1474,140,3221,140,3221,133xm3230,133l3223,133,3223,140,3230,140,3230,133xm4006,133l3233,133,3233,140,4006,140,4006,133xm4015,133l4008,133,4008,140,4015,140,4015,133xm4327,133l4018,133,4018,140,4327,140,4327,133xm4337,133l4330,133,4330,140,4337,140,4337,133xm5090,133l4339,133,4339,140,5090,140,5090,133xm5100,133l5093,133,5093,140,5100,140,5100,133xm5854,133l5102,133,5102,140,5854,140,5854,133xm5863,133l5856,133,5856,140,5863,140,5863,133xm6617,133l5866,133,5866,140,6617,140,6617,133xm6626,133l6619,133,6619,140,6626,140,6626,133xm7380,133l6629,133,6629,140,7380,140,7380,133xm7390,133l7382,133,7382,140,7390,140,7390,133xm8143,133l7392,133,7392,140,8143,140,8143,133xm8153,133l8146,133,8146,140,8153,140,8153,133xm8906,133l8155,133,8155,140,8906,140,8906,133xm8916,133l8909,133,8909,140,8916,140,8916,133xm9670,133l8918,133,8918,140,9670,140,9670,133xm9679,133l9672,133,9672,140,9679,140,9679,133xm10433,133l9682,133,9682,140,10433,140,10433,1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3.679001pt;margin-top:17.808710pt;width:448pt;height:.4pt;mso-position-horizontal-relative:page;mso-position-vertical-relative:paragraph;z-index:15735808" coordorigin="1474,356" coordsize="8960,8" path="m3221,356l1474,356,1474,363,3221,363,3221,356xm3230,356l3223,356,3223,363,3230,363,3230,356xm4006,356l3233,356,3233,363,4006,363,4006,356xm4015,356l4008,356,4008,363,4015,363,4015,356xm4327,356l4018,356,4018,363,4327,363,4327,356xm4337,356l4330,356,4330,363,4337,363,4337,356xm5090,356l4339,356,4339,363,5090,363,5090,356xm5100,356l5093,356,5093,363,5100,363,5100,356xm5854,356l5102,356,5102,363,5854,363,5854,356xm5863,356l5856,356,5856,363,5863,363,5863,356xm6617,356l5866,356,5866,363,6617,363,6617,356xm6626,356l6619,356,6619,363,6626,363,6626,356xm7380,356l6629,356,6629,363,7380,363,7380,356xm7390,356l7382,356,7382,363,7390,363,7390,356xm8143,356l7392,356,7392,363,8143,363,8143,356xm8153,356l8146,356,8146,363,8153,363,8153,356xm8906,356l8155,356,8155,363,8906,363,8906,356xm8916,356l8909,356,8909,363,8916,363,8916,356xm9670,356l8918,356,8918,363,9670,363,9670,356xm9679,356l9672,356,9672,363,9679,363,9679,356xm10433,356l9682,356,9682,363,10433,363,10433,35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6"/>
        </w:rPr>
        <w:t>AMOX</w:t>
        <w:tab/>
        <w:t>AMP</w:t>
        <w:tab/>
        <w:t>CAF</w:t>
        <w:tab/>
        <w:t>CIP</w:t>
        <w:tab/>
        <w:t>ERY</w:t>
        <w:tab/>
        <w:t>CO</w:t>
        <w:tab/>
        <w:t>NOR</w:t>
        <w:tab/>
        <w:t>TTC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620" w:bottom="280" w:left="1340" w:right="1320"/>
          <w:cols w:num="3" w:equalWidth="0">
            <w:col w:w="1355" w:space="40"/>
            <w:col w:w="1165" w:space="39"/>
            <w:col w:w="6651"/>
          </w:cols>
        </w:sectPr>
      </w:pPr>
    </w:p>
    <w:p>
      <w:pPr>
        <w:tabs>
          <w:tab w:pos="2195" w:val="left" w:leader="none"/>
          <w:tab w:pos="2785" w:val="left" w:leader="none"/>
        </w:tabs>
        <w:spacing w:before="32"/>
        <w:ind w:left="241" w:right="0" w:firstLine="0"/>
        <w:jc w:val="left"/>
        <w:rPr>
          <w:sz w:val="16"/>
        </w:rPr>
      </w:pPr>
      <w:r>
        <w:rPr/>
        <w:pict>
          <v:shape style="position:absolute;margin-left:72.959999pt;margin-top:12.684167pt;width:448.7pt;height:117.3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71"/>
                    <w:gridCol w:w="765"/>
                    <w:gridCol w:w="763"/>
                    <w:gridCol w:w="763"/>
                    <w:gridCol w:w="763"/>
                    <w:gridCol w:w="763"/>
                    <w:gridCol w:w="763"/>
                    <w:gridCol w:w="763"/>
                    <w:gridCol w:w="758"/>
                  </w:tblGrid>
                  <w:tr>
                    <w:trPr>
                      <w:trHeight w:val="194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0"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R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13(61.9)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9(42.9)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15(71.4)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8(38.1)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13(61.9)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19(90.5)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9(42.9)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75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16(76.2)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tabs>
                            <w:tab w:pos="1953" w:val="left" w:leader="none"/>
                            <w:tab w:pos="2543" w:val="left" w:leader="none"/>
                          </w:tabs>
                          <w:spacing w:line="50" w:lineRule="auto" w:before="40"/>
                          <w:ind w:left="0" w:right="1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Coagulase-Negative</w:t>
                          <w:tab/>
                        </w:r>
                        <w:r>
                          <w:rPr>
                            <w:position w:val="-10"/>
                            <w:sz w:val="16"/>
                          </w:rPr>
                          <w:t>10</w:t>
                          <w:tab/>
                        </w:r>
                        <w:r>
                          <w:rPr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2(20)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1(10)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3(30)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tabs>
                            <w:tab w:pos="2534" w:val="left" w:leader="none"/>
                          </w:tabs>
                          <w:spacing w:line="181" w:lineRule="exact" w:before="10"/>
                          <w:ind w:left="0"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Staphylococci</w:t>
                          <w:tab/>
                        </w:r>
                        <w:r>
                          <w:rPr>
                            <w:sz w:val="16"/>
                          </w:rPr>
                          <w:t>R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8(80)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9(90)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7(70)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10(100)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10(100)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tabs>
                            <w:tab w:pos="1994" w:val="left" w:leader="none"/>
                            <w:tab w:pos="2543" w:val="left" w:leader="none"/>
                          </w:tabs>
                          <w:spacing w:line="186" w:lineRule="exact" w:before="6"/>
                          <w:ind w:left="0" w:right="1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Enterococcus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231F1F"/>
                            <w:sz w:val="16"/>
                          </w:rPr>
                          <w:t>faecalis</w:t>
                          <w:tab/>
                        </w:r>
                        <w:r>
                          <w:rPr>
                            <w:sz w:val="16"/>
                          </w:rPr>
                          <w:t>7</w:t>
                          <w:tab/>
                        </w:r>
                        <w:r>
                          <w:rPr>
                            <w:position w:val="11"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3(42.9)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4(57.1)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3(42.9)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2(28.6)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3(42.9)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82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3(42.9)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0"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R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4(57.1)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3(42.9)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4(57.1)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5(71.4)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4(57.1)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4(57.1)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tabs>
                            <w:tab w:pos="1994" w:val="left" w:leader="none"/>
                            <w:tab w:pos="2543" w:val="left" w:leader="none"/>
                          </w:tabs>
                          <w:spacing w:line="185" w:lineRule="exact" w:before="6"/>
                          <w:ind w:left="0" w:right="1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231F1F"/>
                            <w:sz w:val="16"/>
                          </w:rPr>
                          <w:t>Streptococci </w:t>
                        </w:r>
                        <w:r>
                          <w:rPr>
                            <w:i/>
                            <w:sz w:val="16"/>
                          </w:rPr>
                          <w:t>species</w:t>
                          <w:tab/>
                        </w:r>
                        <w:r>
                          <w:rPr>
                            <w:sz w:val="16"/>
                          </w:rPr>
                          <w:t>6</w:t>
                          <w:tab/>
                        </w:r>
                        <w:r>
                          <w:rPr>
                            <w:position w:val="11"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2(33.3)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1(16.7)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0"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R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4(66.7)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5(83.3)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6(100)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3(50)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TableParagraph"/>
                          <w:tabs>
                            <w:tab w:pos="1994" w:val="left" w:leader="none"/>
                            <w:tab w:pos="2543" w:val="left" w:leader="none"/>
                          </w:tabs>
                          <w:spacing w:line="185" w:lineRule="exact" w:before="6"/>
                          <w:ind w:left="0" w:right="1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Streptococcus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pyogenes</w:t>
                          <w:tab/>
                        </w:r>
                        <w:r>
                          <w:rPr>
                            <w:sz w:val="16"/>
                          </w:rPr>
                          <w:t>3</w:t>
                          <w:tab/>
                        </w:r>
                        <w:r>
                          <w:rPr>
                            <w:position w:val="11"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65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28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0"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R</w:t>
                        </w:r>
                      </w:p>
                    </w:tc>
                    <w:tc>
                      <w:tcPr>
                        <w:tcW w:w="7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0(100)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0(0)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  <w:tc>
                      <w:tcPr>
                        <w:tcW w:w="7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3(100)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287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53" w:val="left" w:leader="none"/>
                            <w:tab w:pos="2543" w:val="left" w:leader="none"/>
                          </w:tabs>
                          <w:spacing w:line="180" w:lineRule="exact" w:before="0"/>
                          <w:ind w:left="0" w:right="1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Total</w:t>
                          <w:tab/>
                        </w:r>
                        <w:r>
                          <w:rPr>
                            <w:sz w:val="16"/>
                          </w:rPr>
                          <w:t>47</w:t>
                          <w:tab/>
                        </w:r>
                        <w:r>
                          <w:rPr>
                            <w:position w:val="11"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10(21.3)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22(46.8)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18(38.3)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32(68.1)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21(44.7)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3(6.4)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15(31.9)</w:t>
                        </w:r>
                      </w:p>
                    </w:tc>
                    <w:tc>
                      <w:tcPr>
                        <w:tcW w:w="7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11(23.4)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8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R</w:t>
                        </w:r>
                      </w:p>
                    </w:tc>
                    <w:tc>
                      <w:tcPr>
                        <w:tcW w:w="7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37(78.7)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25(53.2)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29(61.7)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15(31.9)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26(55.3)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44(93.6)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32(68.1)</w:t>
                        </w:r>
                      </w:p>
                    </w:tc>
                    <w:tc>
                      <w:tcPr>
                        <w:tcW w:w="7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36(76.6)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color w:val="231F1F"/>
          <w:sz w:val="16"/>
        </w:rPr>
        <w:t>Staphylococcus</w:t>
      </w:r>
      <w:r>
        <w:rPr>
          <w:i/>
          <w:color w:val="231F1F"/>
          <w:spacing w:val="-3"/>
          <w:sz w:val="16"/>
        </w:rPr>
        <w:t> </w:t>
      </w:r>
      <w:r>
        <w:rPr>
          <w:i/>
          <w:color w:val="231F1F"/>
          <w:sz w:val="16"/>
        </w:rPr>
        <w:t>aureus</w:t>
        <w:tab/>
      </w:r>
      <w:r>
        <w:rPr>
          <w:sz w:val="16"/>
        </w:rPr>
        <w:t>21</w:t>
        <w:tab/>
      </w:r>
      <w:r>
        <w:rPr>
          <w:spacing w:val="-6"/>
          <w:position w:val="11"/>
          <w:sz w:val="16"/>
        </w:rPr>
        <w:t>S</w:t>
      </w:r>
    </w:p>
    <w:p>
      <w:pPr>
        <w:spacing w:before="37"/>
        <w:ind w:left="18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8(38.1)</w:t>
      </w:r>
    </w:p>
    <w:p>
      <w:pPr>
        <w:spacing w:before="37"/>
        <w:ind w:left="24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12(57.1)</w:t>
      </w:r>
    </w:p>
    <w:p>
      <w:pPr>
        <w:spacing w:before="37"/>
        <w:ind w:left="17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6(28.6)</w:t>
      </w:r>
    </w:p>
    <w:p>
      <w:pPr>
        <w:spacing w:before="37"/>
        <w:ind w:left="24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13(61.9)</w:t>
      </w:r>
    </w:p>
    <w:p>
      <w:pPr>
        <w:spacing w:before="37"/>
        <w:ind w:left="17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8(38.1)</w:t>
      </w:r>
    </w:p>
    <w:p>
      <w:pPr>
        <w:spacing w:before="37"/>
        <w:ind w:left="24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2(9.5)</w:t>
      </w:r>
    </w:p>
    <w:p>
      <w:pPr>
        <w:spacing w:before="37"/>
        <w:ind w:left="24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12(57.1)</w:t>
      </w:r>
    </w:p>
    <w:p>
      <w:pPr>
        <w:spacing w:before="37"/>
        <w:ind w:left="17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5(23.8)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620" w:bottom="280" w:left="1340" w:right="1320"/>
          <w:cols w:num="9" w:equalWidth="0">
            <w:col w:w="2876" w:space="40"/>
            <w:col w:w="652" w:space="51"/>
            <w:col w:w="795" w:space="40"/>
            <w:col w:w="640" w:space="52"/>
            <w:col w:w="795" w:space="39"/>
            <w:col w:w="640" w:space="52"/>
            <w:col w:w="672" w:space="91"/>
            <w:col w:w="795" w:space="40"/>
            <w:col w:w="98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90"/>
        <w:ind w:left="100"/>
      </w:pPr>
      <w:r>
        <w:rPr/>
        <w:t>S=Susceptible,</w:t>
      </w:r>
      <w:r>
        <w:rPr>
          <w:spacing w:val="-6"/>
        </w:rPr>
        <w:t> </w:t>
      </w:r>
      <w:r>
        <w:rPr/>
        <w:t>R=Resistance</w:t>
      </w:r>
    </w:p>
    <w:p>
      <w:pPr>
        <w:pStyle w:val="BodyText"/>
        <w:spacing w:line="276" w:lineRule="auto" w:before="35"/>
        <w:ind w:left="100" w:right="1895"/>
      </w:pPr>
      <w:r>
        <w:rPr/>
        <w:t>AMOX= A</w:t>
      </w:r>
      <w:r>
        <w:rPr>
          <w:color w:val="282426"/>
        </w:rPr>
        <w:t>moxicillin</w:t>
      </w:r>
      <w:r>
        <w:rPr/>
        <w:t>, AMP = A</w:t>
      </w:r>
      <w:r>
        <w:rPr>
          <w:color w:val="282426"/>
        </w:rPr>
        <w:t>mpicillin</w:t>
      </w:r>
      <w:r>
        <w:rPr/>
        <w:t>, CAF= </w:t>
      </w:r>
      <w:r>
        <w:rPr>
          <w:color w:val="282426"/>
        </w:rPr>
        <w:t>Chloramphenicol</w:t>
      </w:r>
      <w:r>
        <w:rPr/>
        <w:t>. , CIP = </w:t>
      </w:r>
      <w:r>
        <w:rPr>
          <w:color w:val="282426"/>
        </w:rPr>
        <w:t>ciprofloxacin</w:t>
      </w:r>
      <w:r>
        <w:rPr/>
        <w:t>,</w:t>
      </w:r>
      <w:r>
        <w:rPr>
          <w:spacing w:val="-48"/>
        </w:rPr>
        <w:t> </w:t>
      </w:r>
      <w:r>
        <w:rPr/>
        <w:t>ERY=</w:t>
      </w:r>
      <w:r>
        <w:rPr>
          <w:spacing w:val="-3"/>
        </w:rPr>
        <w:t> </w:t>
      </w:r>
      <w:r>
        <w:rPr/>
        <w:t>Erythromycin,Co=</w:t>
      </w:r>
      <w:r>
        <w:rPr>
          <w:spacing w:val="-1"/>
        </w:rPr>
        <w:t> </w:t>
      </w:r>
      <w:r>
        <w:rPr>
          <w:color w:val="282426"/>
        </w:rPr>
        <w:t>Co-trimoxazole</w:t>
      </w:r>
      <w:r>
        <w:rPr/>
        <w:t>,NOR=Norfloxacillin,TTC=</w:t>
      </w:r>
      <w:r>
        <w:rPr>
          <w:spacing w:val="-5"/>
        </w:rPr>
        <w:t> </w:t>
      </w:r>
      <w:r>
        <w:rPr/>
        <w:t>Tetracycline</w:t>
      </w:r>
    </w:p>
    <w:p>
      <w:pPr>
        <w:pStyle w:val="BodyText"/>
        <w:spacing w:before="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BodyText"/>
        <w:spacing w:line="276" w:lineRule="auto" w:before="91"/>
        <w:ind w:left="100" w:right="38"/>
        <w:jc w:val="both"/>
      </w:pPr>
      <w:r>
        <w:rPr/>
        <w:t>Antimicrobial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uropathogens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the commonly used antibiotics become increasing</w:t>
      </w:r>
      <w:r>
        <w:rPr>
          <w:spacing w:val="1"/>
        </w:rPr>
        <w:t> </w:t>
      </w:r>
      <w:r>
        <w:rPr/>
        <w:t>that make clinicians with very few choices of drugs</w:t>
      </w:r>
      <w:r>
        <w:rPr>
          <w:spacing w:val="-47"/>
        </w:rPr>
        <w:t> </w:t>
      </w:r>
      <w:r>
        <w:rPr/>
        <w:t>for the treatment of urinary tract infection</w:t>
      </w:r>
      <w:r>
        <w:rPr>
          <w:vertAlign w:val="superscript"/>
        </w:rPr>
        <w:t>20,21</w:t>
      </w:r>
      <w:r>
        <w:rPr>
          <w:vertAlign w:val="baseline"/>
        </w:rPr>
        <w:t>. 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 study, susceptibility pattern of Gram-negative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 showed that high to intermediate level of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ampicilline,</w:t>
      </w:r>
      <w:r>
        <w:rPr>
          <w:spacing w:val="1"/>
          <w:vertAlign w:val="baseline"/>
        </w:rPr>
        <w:t> </w:t>
      </w:r>
      <w:r>
        <w:rPr>
          <w:vertAlign w:val="baseline"/>
        </w:rPr>
        <w:t>erythromycine,</w:t>
      </w:r>
      <w:r>
        <w:rPr>
          <w:spacing w:val="1"/>
          <w:vertAlign w:val="baseline"/>
        </w:rPr>
        <w:t> </w:t>
      </w:r>
      <w:r>
        <w:rPr>
          <w:vertAlign w:val="baseline"/>
        </w:rPr>
        <w:t>tetracycline,</w:t>
      </w:r>
      <w:r>
        <w:rPr>
          <w:spacing w:val="1"/>
          <w:vertAlign w:val="baseline"/>
        </w:rPr>
        <w:t> </w:t>
      </w:r>
      <w:r>
        <w:rPr>
          <w:vertAlign w:val="baseline"/>
        </w:rPr>
        <w:t>amoxicillin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co-trimoxazole.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1"/>
          <w:vertAlign w:val="baseline"/>
        </w:rPr>
        <w:t> </w:t>
      </w:r>
      <w:r>
        <w:rPr>
          <w:vertAlign w:val="baseline"/>
        </w:rPr>
        <w:t>same</w:t>
      </w:r>
      <w:r>
        <w:rPr>
          <w:spacing w:val="1"/>
          <w:vertAlign w:val="baseline"/>
        </w:rPr>
        <w:t> </w:t>
      </w:r>
      <w:r>
        <w:rPr>
          <w:vertAlign w:val="baseline"/>
        </w:rPr>
        <w:t>manner all isolates of Gram-positives also 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29"/>
          <w:vertAlign w:val="baseline"/>
        </w:rPr>
        <w:t> </w:t>
      </w:r>
      <w:r>
        <w:rPr>
          <w:vertAlign w:val="baseline"/>
        </w:rPr>
        <w:t>to</w:t>
      </w:r>
      <w:r>
        <w:rPr>
          <w:spacing w:val="31"/>
          <w:vertAlign w:val="baseline"/>
        </w:rPr>
        <w:t> </w:t>
      </w:r>
      <w:r>
        <w:rPr>
          <w:vertAlign w:val="baseline"/>
        </w:rPr>
        <w:t>intermediate</w:t>
      </w:r>
      <w:r>
        <w:rPr>
          <w:spacing w:val="30"/>
          <w:vertAlign w:val="baseline"/>
        </w:rPr>
        <w:t> </w:t>
      </w:r>
      <w:r>
        <w:rPr>
          <w:vertAlign w:val="baseline"/>
        </w:rPr>
        <w:t>level</w:t>
      </w:r>
      <w:r>
        <w:rPr>
          <w:spacing w:val="31"/>
          <w:vertAlign w:val="baseline"/>
        </w:rPr>
        <w:t> </w:t>
      </w:r>
      <w:r>
        <w:rPr>
          <w:vertAlign w:val="baseline"/>
        </w:rPr>
        <w:t>of</w:t>
      </w:r>
      <w:r>
        <w:rPr>
          <w:spacing w:val="3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30"/>
          <w:vertAlign w:val="baseline"/>
        </w:rPr>
        <w:t> </w:t>
      </w:r>
      <w:r>
        <w:rPr>
          <w:vertAlign w:val="baseline"/>
        </w:rPr>
        <w:t>to</w:t>
      </w:r>
      <w:r>
        <w:rPr>
          <w:spacing w:val="31"/>
          <w:vertAlign w:val="baseline"/>
        </w:rPr>
        <w:t> </w:t>
      </w:r>
      <w:r>
        <w:rPr>
          <w:vertAlign w:val="baseline"/>
        </w:rPr>
        <w:t>half</w:t>
      </w:r>
      <w:r>
        <w:rPr>
          <w:spacing w:val="30"/>
          <w:vertAlign w:val="baseline"/>
        </w:rPr>
        <w:t> </w:t>
      </w:r>
      <w:r>
        <w:rPr>
          <w:vertAlign w:val="baseline"/>
        </w:rPr>
        <w:t>of</w:t>
      </w:r>
      <w:r>
        <w:rPr>
          <w:spacing w:val="-48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co-trimoxazole,</w:t>
      </w:r>
      <w:r>
        <w:rPr>
          <w:spacing w:val="1"/>
          <w:vertAlign w:val="baseline"/>
        </w:rPr>
        <w:t> </w:t>
      </w:r>
      <w:r>
        <w:rPr>
          <w:vertAlign w:val="baseline"/>
        </w:rPr>
        <w:t>amoxicillin,</w:t>
      </w:r>
      <w:r>
        <w:rPr>
          <w:spacing w:val="1"/>
          <w:vertAlign w:val="baseline"/>
        </w:rPr>
        <w:t> </w:t>
      </w:r>
      <w:r>
        <w:rPr>
          <w:vertAlign w:val="baseline"/>
        </w:rPr>
        <w:t>chloramphenicol,</w:t>
      </w:r>
      <w:r>
        <w:rPr>
          <w:spacing w:val="1"/>
          <w:vertAlign w:val="baseline"/>
        </w:rPr>
        <w:t> </w:t>
      </w:r>
      <w:r>
        <w:rPr>
          <w:vertAlign w:val="baseline"/>
        </w:rPr>
        <w:t>norfloxacin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tetracycline. This agrees with previous studies</w:t>
      </w:r>
      <w:r>
        <w:rPr>
          <w:vertAlign w:val="superscript"/>
        </w:rPr>
        <w:t>6,</w:t>
      </w:r>
      <w:r>
        <w:rPr>
          <w:vertAlign w:val="baseline"/>
        </w:rPr>
        <w:t> </w:t>
      </w:r>
      <w:r>
        <w:rPr>
          <w:vertAlign w:val="superscript"/>
        </w:rPr>
        <w:t>8,</w:t>
      </w:r>
      <w:r>
        <w:rPr>
          <w:vertAlign w:val="baseline"/>
        </w:rPr>
        <w:t> </w:t>
      </w:r>
      <w:r>
        <w:rPr>
          <w:vertAlign w:val="superscript"/>
        </w:rPr>
        <w:t>15</w:t>
      </w:r>
      <w:r>
        <w:rPr>
          <w:spacing w:val="-47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drugs. Rates of susceptibility of the isolates range</w:t>
      </w:r>
      <w:r>
        <w:rPr>
          <w:spacing w:val="1"/>
          <w:vertAlign w:val="baseline"/>
        </w:rPr>
        <w:t> </w:t>
      </w:r>
      <w:r>
        <w:rPr>
          <w:vertAlign w:val="baseline"/>
        </w:rPr>
        <w:t>from 6.4 % - 68.1% and 95.2% of them 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 for at least two of the tested drugs.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 that multi drug resistance was found to be</w:t>
      </w:r>
      <w:r>
        <w:rPr>
          <w:spacing w:val="-47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antibiotics.</w:t>
      </w:r>
      <w:r>
        <w:rPr>
          <w:spacing w:val="-47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recognized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consequence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abuse</w:t>
      </w:r>
      <w:r>
        <w:rPr>
          <w:vertAlign w:val="superscript"/>
        </w:rPr>
        <w:t>22,</w:t>
      </w:r>
      <w:r>
        <w:rPr>
          <w:spacing w:val="1"/>
          <w:vertAlign w:val="baseline"/>
        </w:rPr>
        <w:t> </w:t>
      </w:r>
      <w:r>
        <w:rPr>
          <w:vertAlign w:val="superscript"/>
        </w:rPr>
        <w:t>23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reasons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alarming</w:t>
      </w:r>
      <w:r>
        <w:rPr>
          <w:spacing w:val="1"/>
          <w:vertAlign w:val="baseline"/>
        </w:rPr>
        <w:t> </w:t>
      </w:r>
      <w:r>
        <w:rPr>
          <w:vertAlign w:val="baseline"/>
        </w:rPr>
        <w:t>phenomenon might be inappropriate and incorrect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 of antimicrobial agents in empiric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therapies and lack of appropriate infection 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strategies,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shift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prevalence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resistant</w:t>
      </w:r>
      <w:r>
        <w:rPr>
          <w:spacing w:val="-3"/>
          <w:vertAlign w:val="baseline"/>
        </w:rPr>
        <w:t> </w:t>
      </w:r>
      <w:r>
        <w:rPr>
          <w:vertAlign w:val="baseline"/>
        </w:rPr>
        <w:t>organism</w:t>
      </w:r>
      <w:r>
        <w:rPr>
          <w:spacing w:val="-4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community.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00" w:right="38"/>
        <w:jc w:val="both"/>
      </w:pP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negatives,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predominant</w:t>
      </w:r>
      <w:r>
        <w:rPr>
          <w:spacing w:val="-47"/>
        </w:rPr>
        <w:t> </w:t>
      </w:r>
      <w:r>
        <w:rPr/>
        <w:t>isolate was </w:t>
      </w:r>
      <w:r>
        <w:rPr>
          <w:i/>
          <w:color w:val="231F1F"/>
        </w:rPr>
        <w:t>Escherichia coli</w:t>
      </w:r>
      <w:r>
        <w:rPr/>
        <w:t>, which respond better</w:t>
      </w:r>
      <w:r>
        <w:rPr>
          <w:spacing w:val="1"/>
        </w:rPr>
        <w:t> </w:t>
      </w:r>
      <w:r>
        <w:rPr/>
        <w:t>to chloramphenicol (62.3%), ciprofloxacin (50.9%)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norfloxacin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tested</w:t>
      </w:r>
      <w:r>
        <w:rPr>
          <w:spacing w:val="-47"/>
        </w:rPr>
        <w:t> </w:t>
      </w:r>
      <w:r>
        <w:rPr/>
        <w:t>drugs.</w:t>
      </w:r>
      <w:r>
        <w:rPr>
          <w:spacing w:val="1"/>
        </w:rPr>
        <w:t> </w:t>
      </w:r>
      <w:r>
        <w:rPr/>
        <w:t>Likewise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Gram-positives,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predominant</w:t>
      </w:r>
      <w:r>
        <w:rPr>
          <w:spacing w:val="14"/>
        </w:rPr>
        <w:t> </w:t>
      </w:r>
      <w:r>
        <w:rPr/>
        <w:t>isolate</w:t>
      </w:r>
      <w:r>
        <w:rPr>
          <w:spacing w:val="16"/>
        </w:rPr>
        <w:t> </w:t>
      </w:r>
      <w:r>
        <w:rPr/>
        <w:t>was</w:t>
      </w:r>
      <w:r>
        <w:rPr>
          <w:spacing w:val="16"/>
        </w:rPr>
        <w:t> </w:t>
      </w:r>
      <w:r>
        <w:rPr>
          <w:i/>
          <w:color w:val="231F1F"/>
        </w:rPr>
        <w:t>Staphylococcus</w:t>
      </w:r>
      <w:r>
        <w:rPr>
          <w:i/>
          <w:color w:val="231F1F"/>
          <w:spacing w:val="13"/>
        </w:rPr>
        <w:t> </w:t>
      </w:r>
      <w:r>
        <w:rPr>
          <w:i/>
          <w:color w:val="231F1F"/>
        </w:rPr>
        <w:t>aureus</w:t>
      </w:r>
      <w:r>
        <w:rPr/>
        <w:t>,</w:t>
      </w:r>
    </w:p>
    <w:p>
      <w:pPr>
        <w:pStyle w:val="BodyText"/>
        <w:spacing w:line="276" w:lineRule="auto" w:before="91"/>
        <w:ind w:left="100" w:right="120"/>
        <w:jc w:val="both"/>
      </w:pPr>
      <w:r>
        <w:rPr/>
        <w:br w:type="column"/>
      </w:r>
      <w:r>
        <w:rPr/>
        <w:t>which respond better to ciprofloxacin (61.9%) and</w:t>
      </w:r>
      <w:r>
        <w:rPr>
          <w:spacing w:val="1"/>
        </w:rPr>
        <w:t> </w:t>
      </w:r>
      <w:r>
        <w:rPr/>
        <w:t>ampicilline and norfloxacin (57.1%) compared to</w:t>
      </w:r>
      <w:r>
        <w:rPr>
          <w:spacing w:val="1"/>
        </w:rPr>
        <w:t> </w:t>
      </w:r>
      <w:r>
        <w:rPr/>
        <w:t>other tested drugs. The effectiveness of these drugs</w:t>
      </w:r>
      <w:r>
        <w:rPr>
          <w:spacing w:val="1"/>
        </w:rPr>
        <w:t> </w:t>
      </w:r>
      <w:r>
        <w:rPr/>
        <w:t>against the tested organisms in our study could be</w:t>
      </w:r>
      <w:r>
        <w:rPr>
          <w:spacing w:val="1"/>
        </w:rPr>
        <w:t> </w:t>
      </w:r>
      <w:r>
        <w:rPr/>
        <w:t>the reflection of infrequency prescription of these</w:t>
      </w:r>
      <w:r>
        <w:rPr>
          <w:spacing w:val="1"/>
        </w:rPr>
        <w:t> </w:t>
      </w:r>
      <w:r>
        <w:rPr/>
        <w:t>drugs by the physicians in Ethiopia and expense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difficulty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(personal</w:t>
      </w:r>
      <w:r>
        <w:rPr>
          <w:spacing w:val="1"/>
        </w:rPr>
        <w:t> </w:t>
      </w:r>
      <w:r>
        <w:rPr/>
        <w:t>communication).</w:t>
      </w:r>
      <w:r>
        <w:rPr>
          <w:spacing w:val="1"/>
        </w:rPr>
        <w:t> </w:t>
      </w:r>
      <w:r>
        <w:rPr/>
        <w:t>Even</w:t>
      </w:r>
      <w:r>
        <w:rPr>
          <w:spacing w:val="-47"/>
        </w:rPr>
        <w:t> </w:t>
      </w:r>
      <w:r>
        <w:rPr/>
        <w:t>though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still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other drugs for treatment of UTI, the result showed</w:t>
      </w:r>
      <w:r>
        <w:rPr>
          <w:spacing w:val="1"/>
        </w:rPr>
        <w:t> </w:t>
      </w:r>
      <w:r>
        <w:rPr/>
        <w:t>in reduction of their effectiveness. Previous studies</w:t>
      </w:r>
      <w:r>
        <w:rPr>
          <w:spacing w:val="1"/>
        </w:rPr>
        <w:t> </w:t>
      </w:r>
      <w:r>
        <w:rPr/>
        <w:t>in our set up showed, 98.3% of the organisms were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>
          <w:color w:val="282426"/>
        </w:rPr>
        <w:t>ciprofloxacin</w:t>
      </w:r>
      <w:r>
        <w:rPr>
          <w:color w:val="282426"/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-47"/>
          <w:vertAlign w:val="baseline"/>
        </w:rPr>
        <w:t> </w:t>
      </w:r>
      <w:r>
        <w:rPr>
          <w:vertAlign w:val="baseline"/>
        </w:rPr>
        <w:t>ciprofloxacin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routinely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 of UTIs in our study area was 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only for 62% of the present isolates. Further more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amoxicillin,</w:t>
      </w:r>
      <w:r>
        <w:rPr>
          <w:spacing w:val="1"/>
          <w:vertAlign w:val="baseline"/>
        </w:rPr>
        <w:t> </w:t>
      </w:r>
      <w:r>
        <w:rPr>
          <w:vertAlign w:val="baseline"/>
        </w:rPr>
        <w:t>erythromycin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chloramphenico, and tetracycline which previously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 good result for almost all bacteria,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 currently highly reduced</w:t>
      </w:r>
      <w:r>
        <w:rPr>
          <w:vertAlign w:val="superscript"/>
        </w:rPr>
        <w:t>6,8</w:t>
      </w:r>
      <w:r>
        <w:rPr>
          <w:vertAlign w:val="baseline"/>
        </w:rPr>
        <w:t>. The upsurge in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 resistant pattern seen in this study 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abuse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self</w:t>
      </w:r>
      <w:r>
        <w:rPr>
          <w:spacing w:val="50"/>
          <w:vertAlign w:val="baseline"/>
        </w:rPr>
        <w:t> </w:t>
      </w:r>
      <w:r>
        <w:rPr>
          <w:vertAlign w:val="baseline"/>
        </w:rPr>
        <w:t>medication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being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 Ethiopia. In addition, exhaustively usage</w:t>
      </w:r>
      <w:r>
        <w:rPr>
          <w:spacing w:val="1"/>
          <w:vertAlign w:val="baseline"/>
        </w:rPr>
        <w:t> </w:t>
      </w:r>
      <w:r>
        <w:rPr>
          <w:vertAlign w:val="baseline"/>
        </w:rPr>
        <w:t>of first line drugs, low cost and availability of these</w:t>
      </w:r>
      <w:r>
        <w:rPr>
          <w:spacing w:val="-47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contributing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-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locality.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4"/>
        <w:ind w:left="100" w:right="120"/>
        <w:jc w:val="both"/>
      </w:pP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25.6%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symptomatic</w:t>
      </w:r>
      <w:r>
        <w:rPr>
          <w:spacing w:val="1"/>
        </w:rPr>
        <w:t> </w:t>
      </w:r>
      <w:r>
        <w:rPr/>
        <w:t>bacteriuria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UTI</w:t>
      </w:r>
      <w:r>
        <w:rPr>
          <w:spacing w:val="1"/>
        </w:rPr>
        <w:t> </w:t>
      </w:r>
      <w:r>
        <w:rPr/>
        <w:t>suspected</w:t>
      </w:r>
      <w:r>
        <w:rPr>
          <w:spacing w:val="1"/>
        </w:rPr>
        <w:t> </w:t>
      </w:r>
      <w:r>
        <w:rPr/>
        <w:t>patients. This is worrisome because UTI may have</w:t>
      </w:r>
      <w:r>
        <w:rPr>
          <w:spacing w:val="1"/>
        </w:rPr>
        <w:t> </w:t>
      </w:r>
      <w:r>
        <w:rPr/>
        <w:t>serious consequences like renal failure that cost the</w:t>
      </w:r>
      <w:r>
        <w:rPr>
          <w:spacing w:val="1"/>
        </w:rPr>
        <w:t> </w:t>
      </w:r>
      <w:r>
        <w:rPr/>
        <w:t>life of an individual. Multi drug resistances bacteria</w:t>
      </w:r>
      <w:r>
        <w:rPr>
          <w:spacing w:val="-47"/>
        </w:rPr>
        <w:t> </w:t>
      </w:r>
      <w:r>
        <w:rPr/>
        <w:t>were</w:t>
      </w:r>
      <w:r>
        <w:rPr>
          <w:spacing w:val="20"/>
        </w:rPr>
        <w:t> </w:t>
      </w:r>
      <w:r>
        <w:rPr/>
        <w:t>common</w:t>
      </w:r>
      <w:r>
        <w:rPr>
          <w:spacing w:val="20"/>
        </w:rPr>
        <w:t> </w:t>
      </w:r>
      <w:r>
        <w:rPr/>
        <w:t>and</w:t>
      </w:r>
      <w:r>
        <w:rPr>
          <w:spacing w:val="22"/>
        </w:rPr>
        <w:t> </w:t>
      </w:r>
      <w:r>
        <w:rPr/>
        <w:t>even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/>
        <w:t>effectiveness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some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4294" w:space="578"/>
            <w:col w:w="4378"/>
          </w:cols>
        </w:sectPr>
      </w:pPr>
    </w:p>
    <w:p>
      <w:pPr>
        <w:pStyle w:val="Heading1"/>
        <w:ind w:left="100" w:right="0"/>
        <w:jc w:val="left"/>
      </w:pPr>
      <w:r>
        <w:rPr/>
        <w:t>90</w:t>
      </w:r>
    </w:p>
    <w:p>
      <w:pPr>
        <w:spacing w:line="226" w:lineRule="exact" w:before="0"/>
        <w:ind w:left="1819" w:right="183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[84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40" w:right="1320"/>
        </w:sectPr>
      </w:pPr>
    </w:p>
    <w:p>
      <w:pPr>
        <w:pStyle w:val="BodyText"/>
        <w:spacing w:line="276" w:lineRule="auto" w:before="91"/>
        <w:ind w:left="100" w:right="41"/>
        <w:jc w:val="both"/>
      </w:pPr>
      <w:r>
        <w:rPr/>
        <w:t>drugs like </w:t>
      </w:r>
      <w:r>
        <w:rPr>
          <w:color w:val="282426"/>
        </w:rPr>
        <w:t>ciprofloxacin, </w:t>
      </w:r>
      <w:r>
        <w:rPr/>
        <w:t>amoxicillin, erythromycin</w:t>
      </w:r>
      <w:r>
        <w:rPr>
          <w:spacing w:val="1"/>
        </w:rPr>
        <w:t> </w:t>
      </w:r>
      <w:r>
        <w:rPr/>
        <w:t>are reduce overtime. The findings have no doubt</w:t>
      </w:r>
      <w:r>
        <w:rPr>
          <w:spacing w:val="1"/>
        </w:rPr>
        <w:t> </w:t>
      </w:r>
      <w:r>
        <w:rPr/>
        <w:t>highlighted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constant</w:t>
      </w:r>
      <w:r>
        <w:rPr>
          <w:spacing w:val="1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populations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5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agents. These data may be used to determine trends</w:t>
      </w:r>
      <w:r>
        <w:rPr>
          <w:spacing w:val="-47"/>
        </w:rPr>
        <w:t> </w:t>
      </w:r>
      <w:r>
        <w:rPr/>
        <w:t>in antimicrobial susceptibilities, to formulate local</w:t>
      </w:r>
      <w:r>
        <w:rPr>
          <w:spacing w:val="1"/>
        </w:rPr>
        <w:t> </w:t>
      </w:r>
      <w:r>
        <w:rPr/>
        <w:t>antibiotic policies, to compare local with national</w:t>
      </w:r>
      <w:r>
        <w:rPr>
          <w:spacing w:val="1"/>
        </w:rPr>
        <w:t> </w:t>
      </w:r>
      <w:r>
        <w:rPr/>
        <w:t>data and overall to assist clinicians in the rational</w:t>
      </w:r>
      <w:r>
        <w:rPr>
          <w:spacing w:val="1"/>
        </w:rPr>
        <w:t> </w:t>
      </w:r>
      <w:r>
        <w:rPr/>
        <w:t>choice of antibiotic therapy to prevent misuse or</w:t>
      </w:r>
      <w:r>
        <w:rPr>
          <w:spacing w:val="1"/>
        </w:rPr>
        <w:t> </w:t>
      </w:r>
      <w:r>
        <w:rPr/>
        <w:t>overuse of antibiotics. Finally, since the hospital</w:t>
      </w:r>
      <w:r>
        <w:rPr>
          <w:spacing w:val="1"/>
        </w:rPr>
        <w:t> </w:t>
      </w:r>
      <w:r>
        <w:rPr/>
        <w:t>environment is a sort of collection agency for many</w:t>
      </w:r>
      <w:r>
        <w:rPr>
          <w:spacing w:val="-47"/>
        </w:rPr>
        <w:t> </w:t>
      </w:r>
      <w:r>
        <w:rPr/>
        <w:t>pathogenic microorganisms by virtue of the many</w:t>
      </w:r>
      <w:r>
        <w:rPr>
          <w:spacing w:val="1"/>
        </w:rPr>
        <w:t> </w:t>
      </w:r>
      <w:r>
        <w:rPr/>
        <w:t>seriously ill patients who passes through it, it is</w:t>
      </w:r>
      <w:r>
        <w:rPr>
          <w:spacing w:val="1"/>
        </w:rPr>
        <w:t> </w:t>
      </w:r>
      <w:r>
        <w:rPr/>
        <w:t>extremely important for the hospital managements</w:t>
      </w:r>
      <w:r>
        <w:rPr>
          <w:spacing w:val="1"/>
        </w:rPr>
        <w:t> </w:t>
      </w:r>
      <w:r>
        <w:rPr/>
        <w:t>to do everything possible to minimize the spread of</w:t>
      </w:r>
      <w:r>
        <w:rPr>
          <w:spacing w:val="-47"/>
        </w:rPr>
        <w:t> </w:t>
      </w:r>
      <w:r>
        <w:rPr/>
        <w:t>these</w:t>
      </w:r>
      <w:r>
        <w:rPr>
          <w:spacing w:val="-1"/>
        </w:rPr>
        <w:t> </w:t>
      </w:r>
      <w:r>
        <w:rPr/>
        <w:t>organisms to other</w:t>
      </w:r>
      <w:r>
        <w:rPr>
          <w:spacing w:val="1"/>
        </w:rPr>
        <w:t> </w:t>
      </w:r>
      <w:r>
        <w:rPr/>
        <w:t>patients.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ind w:left="100"/>
      </w:pPr>
      <w:r>
        <w:rPr/>
        <w:t>Acknowledgment</w:t>
      </w:r>
    </w:p>
    <w:p>
      <w:pPr>
        <w:pStyle w:val="BodyText"/>
        <w:spacing w:line="276" w:lineRule="auto" w:before="34"/>
        <w:ind w:left="100" w:right="42"/>
        <w:jc w:val="both"/>
      </w:pPr>
      <w:r>
        <w:rPr/>
        <w:t>We thank the entire study participant being willing</w:t>
      </w:r>
      <w:r>
        <w:rPr>
          <w:spacing w:val="1"/>
        </w:rPr>
        <w:t> </w:t>
      </w:r>
      <w:r>
        <w:rPr/>
        <w:t>to participate in the study, University of Gondar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staffs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allowing us to use different equipments, materials</w:t>
      </w:r>
      <w:r>
        <w:rPr>
          <w:spacing w:val="1"/>
        </w:rPr>
        <w:t> </w:t>
      </w:r>
      <w:r>
        <w:rPr/>
        <w:t>and laboratories.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ind w:left="100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34" w:after="0"/>
        <w:ind w:left="460" w:right="43" w:hanging="360"/>
        <w:jc w:val="both"/>
        <w:rPr>
          <w:sz w:val="20"/>
        </w:rPr>
      </w:pPr>
      <w:r>
        <w:rPr>
          <w:sz w:val="20"/>
        </w:rPr>
        <w:t>Ojiegbe</w:t>
      </w:r>
      <w:r>
        <w:rPr>
          <w:spacing w:val="1"/>
          <w:sz w:val="20"/>
        </w:rPr>
        <w:t> </w:t>
      </w:r>
      <w:r>
        <w:rPr>
          <w:sz w:val="20"/>
        </w:rPr>
        <w:t>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Nworie</w:t>
      </w:r>
      <w:r>
        <w:rPr>
          <w:spacing w:val="1"/>
          <w:sz w:val="20"/>
        </w:rPr>
        <w:t> </w:t>
      </w:r>
      <w:r>
        <w:rPr>
          <w:sz w:val="20"/>
        </w:rPr>
        <w:t>W:</w:t>
      </w:r>
      <w:r>
        <w:rPr>
          <w:spacing w:val="1"/>
          <w:sz w:val="20"/>
        </w:rPr>
        <w:t> </w:t>
      </w:r>
      <w:r>
        <w:rPr>
          <w:sz w:val="20"/>
        </w:rPr>
        <w:t>Asymtomatic</w:t>
      </w:r>
      <w:r>
        <w:rPr>
          <w:spacing w:val="1"/>
          <w:sz w:val="20"/>
        </w:rPr>
        <w:t> </w:t>
      </w:r>
      <w:r>
        <w:rPr>
          <w:sz w:val="20"/>
        </w:rPr>
        <w:t>Bacteriuria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School</w:t>
      </w:r>
      <w:r>
        <w:rPr>
          <w:spacing w:val="1"/>
          <w:sz w:val="20"/>
        </w:rPr>
        <w:t> </w:t>
      </w:r>
      <w:r>
        <w:rPr>
          <w:sz w:val="20"/>
        </w:rPr>
        <w:t>Pupils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Enugu</w:t>
      </w:r>
      <w:r>
        <w:rPr>
          <w:spacing w:val="1"/>
          <w:sz w:val="20"/>
        </w:rPr>
        <w:t> </w:t>
      </w:r>
      <w:r>
        <w:rPr>
          <w:sz w:val="20"/>
        </w:rPr>
        <w:t>Urban</w:t>
      </w:r>
      <w:r>
        <w:rPr>
          <w:spacing w:val="-2"/>
          <w:sz w:val="20"/>
        </w:rPr>
        <w:t> </w:t>
      </w:r>
      <w:r>
        <w:rPr>
          <w:sz w:val="20"/>
        </w:rPr>
        <w:t>Areas. J. Med. Sci.2000; 9(1):</w:t>
      </w:r>
      <w:r>
        <w:rPr>
          <w:spacing w:val="-4"/>
          <w:sz w:val="20"/>
        </w:rPr>
        <w:t> </w:t>
      </w:r>
      <w:r>
        <w:rPr>
          <w:sz w:val="20"/>
        </w:rPr>
        <w:t>42-46.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1" w:after="0"/>
        <w:ind w:left="460" w:right="43" w:hanging="360"/>
        <w:jc w:val="both"/>
        <w:rPr>
          <w:sz w:val="20"/>
        </w:rPr>
      </w:pPr>
      <w:r>
        <w:rPr>
          <w:sz w:val="20"/>
        </w:rPr>
        <w:t>Volk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Gebhraddt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Hammarskjold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Kadner</w:t>
      </w:r>
      <w:r>
        <w:rPr>
          <w:spacing w:val="1"/>
          <w:sz w:val="20"/>
        </w:rPr>
        <w:t> </w:t>
      </w:r>
      <w:r>
        <w:rPr>
          <w:sz w:val="20"/>
        </w:rPr>
        <w:t>R(</w:t>
      </w:r>
      <w:r>
        <w:rPr>
          <w:spacing w:val="1"/>
          <w:sz w:val="20"/>
        </w:rPr>
        <w:t> </w:t>
      </w:r>
      <w:r>
        <w:rPr>
          <w:sz w:val="20"/>
        </w:rPr>
        <w:t>1996):</w:t>
      </w:r>
      <w:r>
        <w:rPr>
          <w:spacing w:val="1"/>
          <w:sz w:val="20"/>
        </w:rPr>
        <w:t> </w:t>
      </w:r>
      <w:r>
        <w:rPr>
          <w:sz w:val="20"/>
        </w:rPr>
        <w:t>Essentials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Microbiology</w:t>
      </w:r>
      <w:r>
        <w:rPr>
          <w:spacing w:val="1"/>
          <w:sz w:val="20"/>
        </w:rPr>
        <w:t> </w:t>
      </w:r>
      <w:r>
        <w:rPr>
          <w:sz w:val="20"/>
        </w:rPr>
        <w:t>5th</w:t>
      </w:r>
      <w:r>
        <w:rPr>
          <w:spacing w:val="1"/>
          <w:sz w:val="20"/>
        </w:rPr>
        <w:t> </w:t>
      </w:r>
      <w:r>
        <w:rPr>
          <w:sz w:val="20"/>
        </w:rPr>
        <w:t>ed.</w:t>
      </w:r>
      <w:r>
        <w:rPr>
          <w:spacing w:val="1"/>
          <w:sz w:val="20"/>
        </w:rPr>
        <w:t> </w:t>
      </w:r>
      <w:r>
        <w:rPr>
          <w:sz w:val="20"/>
        </w:rPr>
        <w:t>Lippincott-Raven,</w:t>
      </w:r>
      <w:r>
        <w:rPr>
          <w:spacing w:val="1"/>
          <w:sz w:val="20"/>
        </w:rPr>
        <w:t> </w:t>
      </w:r>
      <w:r>
        <w:rPr>
          <w:sz w:val="20"/>
        </w:rPr>
        <w:t>Philadelphia:</w:t>
      </w:r>
      <w:r>
        <w:rPr>
          <w:spacing w:val="-1"/>
          <w:sz w:val="20"/>
        </w:rPr>
        <w:t> </w:t>
      </w:r>
      <w:r>
        <w:rPr>
          <w:sz w:val="20"/>
        </w:rPr>
        <w:t>345-348.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1" w:after="0"/>
        <w:ind w:left="460" w:right="41" w:hanging="360"/>
        <w:jc w:val="both"/>
        <w:rPr>
          <w:sz w:val="20"/>
        </w:rPr>
      </w:pPr>
      <w:r>
        <w:rPr>
          <w:sz w:val="20"/>
        </w:rPr>
        <w:t>Cowan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Steel</w:t>
      </w:r>
      <w:r>
        <w:rPr>
          <w:spacing w:val="1"/>
          <w:sz w:val="20"/>
        </w:rPr>
        <w:t> </w:t>
      </w:r>
      <w:r>
        <w:rPr>
          <w:sz w:val="20"/>
        </w:rPr>
        <w:t>K.(</w:t>
      </w:r>
      <w:r>
        <w:rPr>
          <w:spacing w:val="1"/>
          <w:sz w:val="20"/>
        </w:rPr>
        <w:t> </w:t>
      </w:r>
      <w:r>
        <w:rPr>
          <w:sz w:val="20"/>
        </w:rPr>
        <w:t>1974):</w:t>
      </w:r>
      <w:r>
        <w:rPr>
          <w:spacing w:val="1"/>
          <w:sz w:val="20"/>
        </w:rPr>
        <w:t> </w:t>
      </w:r>
      <w:r>
        <w:rPr>
          <w:sz w:val="20"/>
        </w:rPr>
        <w:t>Manual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identification of medical bacteria (2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edition).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Cambridg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University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Press, Cambridge.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44" w:hanging="360"/>
        <w:jc w:val="both"/>
        <w:rPr>
          <w:sz w:val="20"/>
        </w:rPr>
      </w:pPr>
      <w:r>
        <w:rPr>
          <w:sz w:val="20"/>
        </w:rPr>
        <w:t>Stamm W: Scientific and Clinical Challenges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Urinary</w:t>
      </w:r>
      <w:r>
        <w:rPr>
          <w:spacing w:val="51"/>
          <w:sz w:val="20"/>
        </w:rPr>
        <w:t> </w:t>
      </w:r>
      <w:r>
        <w:rPr>
          <w:sz w:val="20"/>
        </w:rPr>
        <w:t>Tract</w:t>
      </w:r>
      <w:r>
        <w:rPr>
          <w:spacing w:val="1"/>
          <w:sz w:val="20"/>
        </w:rPr>
        <w:t> </w:t>
      </w:r>
      <w:r>
        <w:rPr>
          <w:sz w:val="20"/>
        </w:rPr>
        <w:t>Infections.</w:t>
      </w:r>
      <w:r>
        <w:rPr>
          <w:spacing w:val="1"/>
          <w:sz w:val="20"/>
        </w:rPr>
        <w:t> </w:t>
      </w:r>
      <w:r>
        <w:rPr>
          <w:sz w:val="20"/>
        </w:rPr>
        <w:t>Ame. J. Med.2002;</w:t>
      </w:r>
      <w:r>
        <w:rPr>
          <w:spacing w:val="-3"/>
          <w:sz w:val="20"/>
        </w:rPr>
        <w:t> </w:t>
      </w:r>
      <w:r>
        <w:rPr>
          <w:sz w:val="20"/>
        </w:rPr>
        <w:t>113:</w:t>
      </w:r>
      <w:r>
        <w:rPr>
          <w:spacing w:val="-1"/>
          <w:sz w:val="20"/>
        </w:rPr>
        <w:t> </w:t>
      </w:r>
      <w:r>
        <w:rPr>
          <w:sz w:val="20"/>
        </w:rPr>
        <w:t>1s-4s.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Tessena B, Kenneth J, Ryan T( 1998): Medical</w:t>
      </w:r>
      <w:r>
        <w:rPr>
          <w:spacing w:val="-47"/>
          <w:sz w:val="20"/>
        </w:rPr>
        <w:t> </w:t>
      </w:r>
      <w:r>
        <w:rPr>
          <w:sz w:val="20"/>
        </w:rPr>
        <w:t>microbiology: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introduction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infectious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7"/>
          <w:sz w:val="20"/>
        </w:rPr>
        <w:t> </w:t>
      </w:r>
      <w:r>
        <w:rPr>
          <w:sz w:val="20"/>
        </w:rPr>
        <w:t>3rd</w:t>
      </w:r>
      <w:r>
        <w:rPr>
          <w:spacing w:val="8"/>
          <w:sz w:val="20"/>
        </w:rPr>
        <w:t> </w:t>
      </w:r>
      <w:r>
        <w:rPr>
          <w:sz w:val="20"/>
        </w:rPr>
        <w:t>ed.</w:t>
      </w:r>
      <w:r>
        <w:rPr>
          <w:spacing w:val="6"/>
          <w:sz w:val="20"/>
        </w:rPr>
        <w:t> </w:t>
      </w:r>
      <w:r>
        <w:rPr>
          <w:sz w:val="20"/>
        </w:rPr>
        <w:t>Lippincott-Raven,</w:t>
      </w:r>
      <w:r>
        <w:rPr>
          <w:spacing w:val="7"/>
          <w:sz w:val="20"/>
        </w:rPr>
        <w:t> </w:t>
      </w:r>
      <w:r>
        <w:rPr>
          <w:sz w:val="20"/>
        </w:rPr>
        <w:t>Philadelphia</w:t>
      </w:r>
    </w:p>
    <w:p>
      <w:pPr>
        <w:pStyle w:val="BodyText"/>
        <w:spacing w:line="229" w:lineRule="exact"/>
        <w:ind w:left="460"/>
      </w:pPr>
      <w:r>
        <w:rPr/>
        <w:t>:775-779.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36" w:after="0"/>
        <w:ind w:left="460" w:right="41" w:hanging="360"/>
        <w:jc w:val="both"/>
        <w:rPr>
          <w:sz w:val="20"/>
        </w:rPr>
      </w:pPr>
      <w:r>
        <w:rPr>
          <w:sz w:val="20"/>
        </w:rPr>
        <w:t>Moges F, Genetu A, Mengstu G: Antibiotics</w:t>
      </w:r>
      <w:r>
        <w:rPr>
          <w:spacing w:val="1"/>
          <w:sz w:val="20"/>
        </w:rPr>
        <w:t> </w:t>
      </w:r>
      <w:r>
        <w:rPr>
          <w:sz w:val="20"/>
        </w:rPr>
        <w:t>sensitivity of common bacterial pathogens in</w:t>
      </w:r>
      <w:r>
        <w:rPr>
          <w:spacing w:val="1"/>
          <w:sz w:val="20"/>
        </w:rPr>
        <w:t> </w:t>
      </w:r>
      <w:r>
        <w:rPr>
          <w:sz w:val="20"/>
        </w:rPr>
        <w:t>urinary</w:t>
      </w:r>
      <w:r>
        <w:rPr>
          <w:spacing w:val="1"/>
          <w:sz w:val="20"/>
        </w:rPr>
        <w:t> </w:t>
      </w:r>
      <w:r>
        <w:rPr>
          <w:sz w:val="20"/>
        </w:rPr>
        <w:t>tract</w:t>
      </w:r>
      <w:r>
        <w:rPr>
          <w:spacing w:val="1"/>
          <w:sz w:val="20"/>
        </w:rPr>
        <w:t> </w:t>
      </w:r>
      <w:r>
        <w:rPr>
          <w:sz w:val="20"/>
        </w:rPr>
        <w:t>infections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Gondar</w:t>
      </w:r>
      <w:r>
        <w:rPr>
          <w:spacing w:val="1"/>
          <w:sz w:val="20"/>
        </w:rPr>
        <w:t> </w:t>
      </w:r>
      <w:r>
        <w:rPr>
          <w:sz w:val="20"/>
        </w:rPr>
        <w:t>Hospital,</w:t>
      </w:r>
      <w:r>
        <w:rPr>
          <w:spacing w:val="1"/>
          <w:sz w:val="20"/>
        </w:rPr>
        <w:t> </w:t>
      </w:r>
      <w:r>
        <w:rPr>
          <w:sz w:val="20"/>
        </w:rPr>
        <w:t>Ethiopia.</w:t>
      </w:r>
      <w:r>
        <w:rPr>
          <w:spacing w:val="-2"/>
          <w:sz w:val="20"/>
        </w:rPr>
        <w:t> </w:t>
      </w:r>
      <w:r>
        <w:rPr>
          <w:sz w:val="20"/>
        </w:rPr>
        <w:t>East.Afr.Med.J.2002;</w:t>
      </w:r>
      <w:r>
        <w:rPr>
          <w:spacing w:val="-1"/>
          <w:sz w:val="20"/>
        </w:rPr>
        <w:t> </w:t>
      </w:r>
      <w:r>
        <w:rPr>
          <w:sz w:val="20"/>
        </w:rPr>
        <w:t>79:140-142.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Dawit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Worku</w:t>
      </w:r>
      <w:r>
        <w:rPr>
          <w:spacing w:val="1"/>
          <w:sz w:val="20"/>
        </w:rPr>
        <w:t> </w:t>
      </w:r>
      <w:r>
        <w:rPr>
          <w:sz w:val="20"/>
        </w:rPr>
        <w:t>E:</w:t>
      </w:r>
      <w:r>
        <w:rPr>
          <w:spacing w:val="1"/>
          <w:sz w:val="20"/>
        </w:rPr>
        <w:t> </w:t>
      </w:r>
      <w:r>
        <w:rPr>
          <w:sz w:val="20"/>
        </w:rPr>
        <w:t>Increase</w:t>
      </w:r>
      <w:r>
        <w:rPr>
          <w:spacing w:val="1"/>
          <w:sz w:val="20"/>
        </w:rPr>
        <w:t> </w:t>
      </w:r>
      <w:r>
        <w:rPr>
          <w:sz w:val="20"/>
        </w:rPr>
        <w:t>incidence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urinary</w:t>
      </w:r>
      <w:r>
        <w:rPr>
          <w:spacing w:val="1"/>
          <w:sz w:val="20"/>
        </w:rPr>
        <w:t> </w:t>
      </w:r>
      <w:r>
        <w:rPr>
          <w:sz w:val="20"/>
        </w:rPr>
        <w:t>pathogens isolated at Tikur Anbessa Hospital</w:t>
      </w:r>
      <w:r>
        <w:rPr>
          <w:spacing w:val="1"/>
          <w:sz w:val="20"/>
        </w:rPr>
        <w:t> </w:t>
      </w:r>
      <w:r>
        <w:rPr>
          <w:sz w:val="20"/>
        </w:rPr>
        <w:t>Addis Ababa. Ethiop med J.1997; 35(2):127-</w:t>
      </w:r>
      <w:r>
        <w:rPr>
          <w:spacing w:val="1"/>
          <w:sz w:val="20"/>
        </w:rPr>
        <w:t> </w:t>
      </w:r>
      <w:r>
        <w:rPr>
          <w:sz w:val="20"/>
        </w:rPr>
        <w:t>128.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91" w:after="0"/>
        <w:ind w:left="460" w:right="117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Kassu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Mulu</w:t>
      </w:r>
      <w:r>
        <w:rPr>
          <w:spacing w:val="1"/>
          <w:sz w:val="20"/>
        </w:rPr>
        <w:t> </w:t>
      </w:r>
      <w:r>
        <w:rPr>
          <w:sz w:val="20"/>
        </w:rPr>
        <w:t>A,Yismaw</w:t>
      </w:r>
      <w:r>
        <w:rPr>
          <w:spacing w:val="1"/>
          <w:sz w:val="20"/>
        </w:rPr>
        <w:t> </w:t>
      </w:r>
      <w:r>
        <w:rPr>
          <w:sz w:val="20"/>
        </w:rPr>
        <w:t>G:</w:t>
      </w:r>
      <w:r>
        <w:rPr>
          <w:spacing w:val="1"/>
          <w:sz w:val="20"/>
        </w:rPr>
        <w:t> </w:t>
      </w:r>
      <w:r>
        <w:rPr>
          <w:sz w:val="20"/>
        </w:rPr>
        <w:t>Predominant</w:t>
      </w:r>
      <w:r>
        <w:rPr>
          <w:spacing w:val="1"/>
          <w:sz w:val="20"/>
        </w:rPr>
        <w:t> </w:t>
      </w:r>
      <w:r>
        <w:rPr>
          <w:sz w:val="20"/>
        </w:rPr>
        <w:t>isolate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urinary</w:t>
      </w:r>
      <w:r>
        <w:rPr>
          <w:spacing w:val="1"/>
          <w:sz w:val="20"/>
        </w:rPr>
        <w:t> </w:t>
      </w:r>
      <w:r>
        <w:rPr>
          <w:sz w:val="20"/>
        </w:rPr>
        <w:t>tract</w:t>
      </w:r>
      <w:r>
        <w:rPr>
          <w:spacing w:val="1"/>
          <w:sz w:val="20"/>
        </w:rPr>
        <w:t> </w:t>
      </w:r>
      <w:r>
        <w:rPr>
          <w:sz w:val="20"/>
        </w:rPr>
        <w:t>pathogen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47"/>
          <w:sz w:val="20"/>
        </w:rPr>
        <w:t> </w:t>
      </w:r>
      <w:r>
        <w:rPr>
          <w:sz w:val="20"/>
        </w:rPr>
        <w:t>antimicrobial susceptibility pattern in Gonder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Hospital.</w:t>
      </w:r>
      <w:r>
        <w:rPr>
          <w:spacing w:val="1"/>
          <w:sz w:val="20"/>
        </w:rPr>
        <w:t> </w:t>
      </w:r>
      <w:r>
        <w:rPr>
          <w:sz w:val="20"/>
        </w:rPr>
        <w:t>Ethiop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J.2007;</w:t>
      </w:r>
      <w:r>
        <w:rPr>
          <w:spacing w:val="1"/>
          <w:sz w:val="20"/>
        </w:rPr>
        <w:t> </w:t>
      </w:r>
      <w:r>
        <w:rPr>
          <w:sz w:val="20"/>
        </w:rPr>
        <w:t>45:</w:t>
      </w:r>
      <w:r>
        <w:rPr>
          <w:spacing w:val="1"/>
          <w:sz w:val="20"/>
        </w:rPr>
        <w:t> </w:t>
      </w:r>
      <w:r>
        <w:rPr>
          <w:sz w:val="20"/>
        </w:rPr>
        <w:t>61-67.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19" w:hanging="360"/>
        <w:jc w:val="both"/>
        <w:rPr>
          <w:sz w:val="20"/>
        </w:rPr>
      </w:pPr>
      <w:r>
        <w:rPr>
          <w:sz w:val="20"/>
        </w:rPr>
        <w:t>Paterson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Ko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Von</w:t>
      </w:r>
      <w:r>
        <w:rPr>
          <w:spacing w:val="1"/>
          <w:sz w:val="20"/>
        </w:rPr>
        <w:t> </w:t>
      </w:r>
      <w:r>
        <w:rPr>
          <w:sz w:val="20"/>
        </w:rPr>
        <w:t>Gottberg</w:t>
      </w:r>
      <w:r>
        <w:rPr>
          <w:spacing w:val="1"/>
          <w:sz w:val="20"/>
        </w:rPr>
        <w:t> </w:t>
      </w:r>
      <w:r>
        <w:rPr>
          <w:sz w:val="20"/>
        </w:rPr>
        <w:t>A: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prospective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Klebsiella</w:t>
      </w:r>
      <w:r>
        <w:rPr>
          <w:spacing w:val="-47"/>
          <w:sz w:val="20"/>
        </w:rPr>
        <w:t> </w:t>
      </w:r>
      <w:r>
        <w:rPr>
          <w:sz w:val="20"/>
        </w:rPr>
        <w:t>pneumoniae</w:t>
      </w:r>
      <w:r>
        <w:rPr>
          <w:spacing w:val="1"/>
          <w:sz w:val="20"/>
        </w:rPr>
        <w:t> </w:t>
      </w:r>
      <w:r>
        <w:rPr>
          <w:sz w:val="20"/>
        </w:rPr>
        <w:t>bacteremia:</w:t>
      </w:r>
      <w:r>
        <w:rPr>
          <w:spacing w:val="1"/>
          <w:sz w:val="20"/>
        </w:rPr>
        <w:t> </w:t>
      </w:r>
      <w:r>
        <w:rPr>
          <w:sz w:val="20"/>
        </w:rPr>
        <w:t>implications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extended-spectrum</w:t>
      </w:r>
      <w:r>
        <w:rPr>
          <w:spacing w:val="1"/>
          <w:sz w:val="20"/>
        </w:rPr>
        <w:t> </w:t>
      </w:r>
      <w:r>
        <w:rPr>
          <w:sz w:val="20"/>
        </w:rPr>
        <w:t>beta-lactamase</w:t>
      </w:r>
      <w:r>
        <w:rPr>
          <w:spacing w:val="1"/>
          <w:sz w:val="20"/>
        </w:rPr>
        <w:t> </w:t>
      </w:r>
      <w:r>
        <w:rPr>
          <w:sz w:val="20"/>
        </w:rPr>
        <w:t>production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nosocomial</w:t>
      </w:r>
      <w:r>
        <w:rPr>
          <w:spacing w:val="1"/>
          <w:sz w:val="20"/>
        </w:rPr>
        <w:t> </w:t>
      </w:r>
      <w:r>
        <w:rPr>
          <w:sz w:val="20"/>
        </w:rPr>
        <w:t>Infections.</w:t>
      </w:r>
      <w:r>
        <w:rPr>
          <w:spacing w:val="1"/>
          <w:sz w:val="20"/>
        </w:rPr>
        <w:t> </w:t>
      </w:r>
      <w:r>
        <w:rPr>
          <w:sz w:val="20"/>
        </w:rPr>
        <w:t>Ann</w:t>
      </w:r>
      <w:r>
        <w:rPr>
          <w:spacing w:val="1"/>
          <w:sz w:val="20"/>
        </w:rPr>
        <w:t> </w:t>
      </w:r>
      <w:r>
        <w:rPr>
          <w:sz w:val="20"/>
        </w:rPr>
        <w:t>Intern</w:t>
      </w:r>
      <w:r>
        <w:rPr>
          <w:spacing w:val="-47"/>
          <w:sz w:val="20"/>
        </w:rPr>
        <w:t> </w:t>
      </w:r>
      <w:r>
        <w:rPr>
          <w:sz w:val="20"/>
        </w:rPr>
        <w:t>Med.2004;</w:t>
      </w:r>
      <w:r>
        <w:rPr>
          <w:spacing w:val="-1"/>
          <w:sz w:val="20"/>
        </w:rPr>
        <w:t> </w:t>
      </w:r>
      <w:r>
        <w:rPr>
          <w:sz w:val="20"/>
        </w:rPr>
        <w:t>140:26-32.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20"/>
        </w:rPr>
      </w:pPr>
      <w:r>
        <w:rPr>
          <w:sz w:val="20"/>
        </w:rPr>
        <w:t>Paul</w:t>
      </w:r>
      <w:r>
        <w:rPr>
          <w:spacing w:val="1"/>
          <w:sz w:val="20"/>
        </w:rPr>
        <w:t> </w:t>
      </w:r>
      <w:r>
        <w:rPr>
          <w:sz w:val="20"/>
        </w:rPr>
        <w:t>S:</w:t>
      </w:r>
      <w:r>
        <w:rPr>
          <w:spacing w:val="1"/>
          <w:sz w:val="20"/>
        </w:rPr>
        <w:t> </w:t>
      </w:r>
      <w:r>
        <w:rPr>
          <w:sz w:val="20"/>
        </w:rPr>
        <w:t>Epidemiology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surveillance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tropics.</w:t>
      </w:r>
      <w:r>
        <w:rPr>
          <w:spacing w:val="1"/>
          <w:sz w:val="20"/>
        </w:rPr>
        <w:t> </w:t>
      </w:r>
      <w:r>
        <w:rPr>
          <w:sz w:val="20"/>
        </w:rPr>
        <w:t>Transactions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royal</w:t>
      </w:r>
      <w:r>
        <w:rPr>
          <w:spacing w:val="1"/>
          <w:sz w:val="20"/>
        </w:rPr>
        <w:t> </w:t>
      </w:r>
      <w:r>
        <w:rPr>
          <w:sz w:val="20"/>
        </w:rPr>
        <w:t>society of</w:t>
      </w:r>
      <w:r>
        <w:rPr>
          <w:spacing w:val="1"/>
          <w:sz w:val="20"/>
        </w:rPr>
        <w:t> </w:t>
      </w:r>
      <w:r>
        <w:rPr>
          <w:sz w:val="20"/>
        </w:rPr>
        <w:t>tropical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-2"/>
          <w:sz w:val="20"/>
        </w:rPr>
        <w:t> </w:t>
      </w:r>
      <w:r>
        <w:rPr>
          <w:sz w:val="20"/>
        </w:rPr>
        <w:t>and hygiene</w:t>
      </w:r>
      <w:r>
        <w:rPr>
          <w:spacing w:val="-1"/>
          <w:sz w:val="20"/>
        </w:rPr>
        <w:t> </w:t>
      </w:r>
      <w:r>
        <w:rPr>
          <w:sz w:val="20"/>
        </w:rPr>
        <w:t>2001;</w:t>
      </w:r>
      <w:r>
        <w:rPr>
          <w:spacing w:val="1"/>
          <w:sz w:val="20"/>
        </w:rPr>
        <w:t> </w:t>
      </w:r>
      <w:r>
        <w:rPr>
          <w:sz w:val="20"/>
        </w:rPr>
        <w:t>95:127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130.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2" w:hanging="360"/>
        <w:jc w:val="both"/>
        <w:rPr>
          <w:sz w:val="20"/>
        </w:rPr>
      </w:pPr>
      <w:r>
        <w:rPr>
          <w:sz w:val="20"/>
        </w:rPr>
        <w:t>Stamm W, Norrby S: Urinary tract infections: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panorama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Challenges.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Infect.</w:t>
      </w:r>
      <w:r>
        <w:rPr>
          <w:spacing w:val="1"/>
          <w:sz w:val="20"/>
        </w:rPr>
        <w:t> </w:t>
      </w:r>
      <w:r>
        <w:rPr>
          <w:sz w:val="20"/>
        </w:rPr>
        <w:t>Des.2001;</w:t>
      </w:r>
      <w:r>
        <w:rPr>
          <w:spacing w:val="-1"/>
          <w:sz w:val="20"/>
        </w:rPr>
        <w:t> </w:t>
      </w:r>
      <w:r>
        <w:rPr>
          <w:sz w:val="20"/>
        </w:rPr>
        <w:t>183:S1-4.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1" w:after="0"/>
        <w:ind w:left="460" w:right="117" w:hanging="360"/>
        <w:jc w:val="both"/>
        <w:rPr>
          <w:sz w:val="20"/>
        </w:rPr>
      </w:pPr>
      <w:r>
        <w:rPr>
          <w:sz w:val="20"/>
        </w:rPr>
        <w:t>Hwang J, Chu C,Liu T: Chnges in bacteriology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discharging</w:t>
      </w:r>
      <w:r>
        <w:rPr>
          <w:spacing w:val="1"/>
          <w:sz w:val="20"/>
        </w:rPr>
        <w:t> </w:t>
      </w:r>
      <w:r>
        <w:rPr>
          <w:sz w:val="20"/>
        </w:rPr>
        <w:t>ears.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Laryngol</w:t>
      </w:r>
      <w:r>
        <w:rPr>
          <w:spacing w:val="1"/>
          <w:sz w:val="20"/>
        </w:rPr>
        <w:t> </w:t>
      </w:r>
      <w:r>
        <w:rPr>
          <w:sz w:val="20"/>
        </w:rPr>
        <w:t>Otlo.2002;</w:t>
      </w:r>
      <w:r>
        <w:rPr>
          <w:spacing w:val="1"/>
          <w:sz w:val="20"/>
        </w:rPr>
        <w:t> </w:t>
      </w:r>
      <w:r>
        <w:rPr>
          <w:sz w:val="20"/>
        </w:rPr>
        <w:t>116:686-9.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4" w:hanging="360"/>
        <w:jc w:val="both"/>
        <w:rPr>
          <w:sz w:val="20"/>
        </w:rPr>
      </w:pPr>
      <w:r>
        <w:rPr>
          <w:sz w:val="20"/>
        </w:rPr>
        <w:t>Cheesbrough M: Biochemical tests to identify</w:t>
      </w:r>
      <w:r>
        <w:rPr>
          <w:spacing w:val="1"/>
          <w:sz w:val="20"/>
        </w:rPr>
        <w:t> </w:t>
      </w:r>
      <w:r>
        <w:rPr>
          <w:sz w:val="20"/>
        </w:rPr>
        <w:t>bacteria.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District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Tropical</w:t>
      </w:r>
      <w:r>
        <w:rPr>
          <w:spacing w:val="1"/>
          <w:sz w:val="20"/>
        </w:rPr>
        <w:t> </w:t>
      </w:r>
      <w:r>
        <w:rPr>
          <w:sz w:val="20"/>
        </w:rPr>
        <w:t>Countries,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2.</w:t>
      </w:r>
      <w:r>
        <w:rPr>
          <w:spacing w:val="1"/>
          <w:sz w:val="20"/>
        </w:rPr>
        <w:t> </w:t>
      </w:r>
      <w:r>
        <w:rPr>
          <w:sz w:val="20"/>
        </w:rPr>
        <w:t>Cambridge.</w:t>
      </w:r>
      <w:r>
        <w:rPr>
          <w:spacing w:val="1"/>
          <w:sz w:val="20"/>
        </w:rPr>
        <w:t> </w:t>
      </w:r>
      <w:r>
        <w:rPr>
          <w:sz w:val="20"/>
        </w:rPr>
        <w:t>UK:</w:t>
      </w:r>
      <w:r>
        <w:rPr>
          <w:spacing w:val="-47"/>
          <w:sz w:val="20"/>
        </w:rPr>
        <w:t> </w:t>
      </w:r>
      <w:r>
        <w:rPr>
          <w:sz w:val="20"/>
        </w:rPr>
        <w:t>Cambridge</w:t>
      </w:r>
      <w:r>
        <w:rPr>
          <w:spacing w:val="-2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Press;</w:t>
      </w:r>
      <w:r>
        <w:rPr>
          <w:spacing w:val="1"/>
          <w:sz w:val="20"/>
        </w:rPr>
        <w:t> </w:t>
      </w:r>
      <w:r>
        <w:rPr>
          <w:sz w:val="20"/>
        </w:rPr>
        <w:t>2000:63–70.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20"/>
        </w:rPr>
      </w:pP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Committee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Standards.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standards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antimicrobial susceptibility. NCCLS approved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M100-59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Committee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Standard,</w:t>
      </w:r>
      <w:r>
        <w:rPr>
          <w:spacing w:val="51"/>
          <w:sz w:val="20"/>
        </w:rPr>
        <w:t> </w:t>
      </w:r>
      <w:r>
        <w:rPr>
          <w:sz w:val="20"/>
        </w:rPr>
        <w:t>Wayne.</w:t>
      </w:r>
      <w:r>
        <w:rPr>
          <w:spacing w:val="-47"/>
          <w:sz w:val="20"/>
        </w:rPr>
        <w:t> </w:t>
      </w:r>
      <w:r>
        <w:rPr>
          <w:sz w:val="20"/>
        </w:rPr>
        <w:t>PA,2002.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2" w:hanging="360"/>
        <w:jc w:val="both"/>
        <w:rPr>
          <w:sz w:val="20"/>
        </w:rPr>
      </w:pPr>
      <w:r>
        <w:rPr>
          <w:sz w:val="20"/>
        </w:rPr>
        <w:t>Akram M,Shahid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Khan</w:t>
      </w:r>
      <w:r>
        <w:rPr>
          <w:spacing w:val="1"/>
          <w:sz w:val="20"/>
        </w:rPr>
        <w:t> </w:t>
      </w:r>
      <w:r>
        <w:rPr>
          <w:sz w:val="20"/>
        </w:rPr>
        <w:t>A:</w:t>
      </w:r>
      <w:r>
        <w:rPr>
          <w:spacing w:val="1"/>
          <w:sz w:val="20"/>
        </w:rPr>
        <w:t> </w:t>
      </w:r>
      <w:r>
        <w:rPr>
          <w:sz w:val="20"/>
        </w:rPr>
        <w:t>Etiology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 resistance pattern of community</w:t>
      </w:r>
      <w:r>
        <w:rPr>
          <w:spacing w:val="1"/>
          <w:sz w:val="20"/>
        </w:rPr>
        <w:t> </w:t>
      </w:r>
      <w:r>
        <w:rPr>
          <w:sz w:val="20"/>
        </w:rPr>
        <w:t>acquired UTI in JNMC Hospital Aligarh India.</w:t>
      </w:r>
      <w:r>
        <w:rPr>
          <w:spacing w:val="-47"/>
          <w:sz w:val="20"/>
        </w:rPr>
        <w:t> </w:t>
      </w:r>
      <w:r>
        <w:rPr>
          <w:sz w:val="20"/>
        </w:rPr>
        <w:t>Annchin</w:t>
      </w:r>
      <w:r>
        <w:rPr>
          <w:spacing w:val="-1"/>
          <w:sz w:val="20"/>
        </w:rPr>
        <w:t> </w:t>
      </w:r>
      <w:r>
        <w:rPr>
          <w:sz w:val="20"/>
        </w:rPr>
        <w:t>microbial antimicrobial</w:t>
      </w:r>
      <w:r>
        <w:rPr>
          <w:spacing w:val="-2"/>
          <w:sz w:val="20"/>
        </w:rPr>
        <w:t> </w:t>
      </w:r>
      <w:r>
        <w:rPr>
          <w:sz w:val="20"/>
        </w:rPr>
        <w:t>2007;</w:t>
      </w:r>
      <w:r>
        <w:rPr>
          <w:spacing w:val="-2"/>
          <w:sz w:val="20"/>
        </w:rPr>
        <w:t> </w:t>
      </w:r>
      <w:r>
        <w:rPr>
          <w:sz w:val="20"/>
        </w:rPr>
        <w:t>6:4.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20"/>
        </w:rPr>
      </w:pPr>
      <w:r>
        <w:rPr>
          <w:sz w:val="20"/>
        </w:rPr>
        <w:t>Siwin K, Khan J: Urinary tract infection 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pattern.</w:t>
      </w:r>
      <w:r>
        <w:rPr>
          <w:spacing w:val="1"/>
          <w:sz w:val="20"/>
        </w:rPr>
        <w:t> </w:t>
      </w:r>
      <w:r>
        <w:rPr>
          <w:sz w:val="20"/>
        </w:rPr>
        <w:t>Singapore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J.2007;</w:t>
      </w:r>
      <w:r>
        <w:rPr>
          <w:spacing w:val="-1"/>
          <w:sz w:val="20"/>
        </w:rPr>
        <w:t> </w:t>
      </w:r>
      <w:r>
        <w:rPr>
          <w:sz w:val="20"/>
        </w:rPr>
        <w:t>48:270-1.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18" w:hanging="360"/>
        <w:jc w:val="both"/>
        <w:rPr>
          <w:sz w:val="20"/>
        </w:rPr>
      </w:pPr>
      <w:r>
        <w:rPr>
          <w:sz w:val="20"/>
        </w:rPr>
        <w:t>Kolawole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Kolawole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50"/>
          <w:sz w:val="20"/>
        </w:rPr>
        <w:t> </w:t>
      </w:r>
      <w:r>
        <w:rPr>
          <w:sz w:val="20"/>
        </w:rPr>
        <w:t>Kandaki-Olukemi</w:t>
      </w:r>
      <w:r>
        <w:rPr>
          <w:spacing w:val="-47"/>
          <w:sz w:val="20"/>
        </w:rPr>
        <w:t> </w:t>
      </w:r>
      <w:r>
        <w:rPr>
          <w:sz w:val="20"/>
        </w:rPr>
        <w:t>Y, Babatunde S, Durowade K, Kolawole C: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urinary</w:t>
      </w:r>
      <w:r>
        <w:rPr>
          <w:spacing w:val="1"/>
          <w:sz w:val="20"/>
        </w:rPr>
        <w:t> </w:t>
      </w:r>
      <w:r>
        <w:rPr>
          <w:sz w:val="20"/>
        </w:rPr>
        <w:t>tract</w:t>
      </w:r>
      <w:r>
        <w:rPr>
          <w:spacing w:val="1"/>
          <w:sz w:val="20"/>
        </w:rPr>
        <w:t> </w:t>
      </w:r>
      <w:r>
        <w:rPr>
          <w:sz w:val="20"/>
        </w:rPr>
        <w:t>infections</w:t>
      </w:r>
      <w:r>
        <w:rPr>
          <w:spacing w:val="1"/>
          <w:sz w:val="20"/>
        </w:rPr>
        <w:t> </w:t>
      </w:r>
      <w:r>
        <w:rPr>
          <w:sz w:val="20"/>
        </w:rPr>
        <w:t>(UTI)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attending</w:t>
      </w:r>
      <w:r>
        <w:rPr>
          <w:spacing w:val="1"/>
          <w:sz w:val="20"/>
        </w:rPr>
        <w:t> </w:t>
      </w:r>
      <w:r>
        <w:rPr>
          <w:sz w:val="20"/>
        </w:rPr>
        <w:t>Dalhatu</w:t>
      </w:r>
      <w:r>
        <w:rPr>
          <w:spacing w:val="1"/>
          <w:sz w:val="20"/>
        </w:rPr>
        <w:t> </w:t>
      </w:r>
      <w:r>
        <w:rPr>
          <w:sz w:val="20"/>
        </w:rPr>
        <w:t>Araf</w:t>
      </w:r>
      <w:r>
        <w:rPr>
          <w:spacing w:val="1"/>
          <w:sz w:val="20"/>
        </w:rPr>
        <w:t> </w:t>
      </w:r>
      <w:r>
        <w:rPr>
          <w:sz w:val="20"/>
        </w:rPr>
        <w:t>Specialist</w:t>
      </w:r>
      <w:r>
        <w:rPr>
          <w:spacing w:val="1"/>
          <w:sz w:val="20"/>
        </w:rPr>
        <w:t> </w:t>
      </w:r>
      <w:r>
        <w:rPr>
          <w:sz w:val="20"/>
        </w:rPr>
        <w:t>Hospital,</w:t>
      </w:r>
      <w:r>
        <w:rPr>
          <w:spacing w:val="1"/>
          <w:sz w:val="20"/>
        </w:rPr>
        <w:t> </w:t>
      </w:r>
      <w:r>
        <w:rPr>
          <w:sz w:val="20"/>
        </w:rPr>
        <w:t>Lafia,</w:t>
      </w:r>
      <w:r>
        <w:rPr>
          <w:spacing w:val="1"/>
          <w:sz w:val="20"/>
        </w:rPr>
        <w:t> </w:t>
      </w:r>
      <w:r>
        <w:rPr>
          <w:sz w:val="20"/>
        </w:rPr>
        <w:t>Nasarawa</w:t>
      </w:r>
      <w:r>
        <w:rPr>
          <w:spacing w:val="1"/>
          <w:sz w:val="20"/>
        </w:rPr>
        <w:t> </w:t>
      </w:r>
      <w:r>
        <w:rPr>
          <w:sz w:val="20"/>
        </w:rPr>
        <w:t>State,</w:t>
      </w:r>
      <w:r>
        <w:rPr>
          <w:spacing w:val="1"/>
          <w:sz w:val="20"/>
        </w:rPr>
        <w:t> </w:t>
      </w:r>
      <w:r>
        <w:rPr>
          <w:sz w:val="20"/>
        </w:rPr>
        <w:t>Nigeria. Int. J Medi. and Medical Scie.2009;</w:t>
      </w:r>
      <w:r>
        <w:rPr>
          <w:spacing w:val="1"/>
          <w:sz w:val="20"/>
        </w:rPr>
        <w:t> </w:t>
      </w:r>
      <w:r>
        <w:rPr>
          <w:sz w:val="20"/>
        </w:rPr>
        <w:t>1(5):163-167.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0" w:hanging="360"/>
        <w:jc w:val="both"/>
        <w:rPr>
          <w:sz w:val="20"/>
        </w:rPr>
      </w:pPr>
      <w:r>
        <w:rPr>
          <w:sz w:val="20"/>
        </w:rPr>
        <w:t>Turpin C, Minkah B, Danso K, Frimpong E:</w:t>
      </w:r>
      <w:r>
        <w:rPr>
          <w:spacing w:val="1"/>
          <w:sz w:val="20"/>
        </w:rPr>
        <w:t> </w:t>
      </w:r>
      <w:r>
        <w:rPr>
          <w:sz w:val="20"/>
        </w:rPr>
        <w:t>Asymptomatic bacteriuria in pregnant women</w:t>
      </w:r>
      <w:r>
        <w:rPr>
          <w:spacing w:val="1"/>
          <w:sz w:val="20"/>
        </w:rPr>
        <w:t> </w:t>
      </w:r>
      <w:r>
        <w:rPr>
          <w:sz w:val="20"/>
        </w:rPr>
        <w:t>attending</w:t>
      </w:r>
      <w:r>
        <w:rPr>
          <w:spacing w:val="1"/>
          <w:sz w:val="20"/>
        </w:rPr>
        <w:t> </w:t>
      </w:r>
      <w:r>
        <w:rPr>
          <w:sz w:val="20"/>
        </w:rPr>
        <w:t>antenatal</w:t>
      </w:r>
      <w:r>
        <w:rPr>
          <w:spacing w:val="1"/>
          <w:sz w:val="20"/>
        </w:rPr>
        <w:t> </w:t>
      </w:r>
      <w:r>
        <w:rPr>
          <w:sz w:val="20"/>
        </w:rPr>
        <w:t>clinic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Komfo</w:t>
      </w:r>
      <w:r>
        <w:rPr>
          <w:spacing w:val="1"/>
          <w:sz w:val="20"/>
        </w:rPr>
        <w:t> </w:t>
      </w:r>
      <w:r>
        <w:rPr>
          <w:sz w:val="20"/>
        </w:rPr>
        <w:t>Anokye</w:t>
      </w:r>
      <w:r>
        <w:rPr>
          <w:spacing w:val="-47"/>
          <w:sz w:val="20"/>
        </w:rPr>
        <w:t> </w:t>
      </w:r>
      <w:r>
        <w:rPr>
          <w:sz w:val="20"/>
        </w:rPr>
        <w:t>Teaching</w:t>
      </w:r>
      <w:r>
        <w:rPr>
          <w:spacing w:val="1"/>
          <w:sz w:val="20"/>
        </w:rPr>
        <w:t> </w:t>
      </w:r>
      <w:r>
        <w:rPr>
          <w:sz w:val="20"/>
        </w:rPr>
        <w:t>Hospital,</w:t>
      </w:r>
      <w:r>
        <w:rPr>
          <w:spacing w:val="1"/>
          <w:sz w:val="20"/>
        </w:rPr>
        <w:t> </w:t>
      </w:r>
      <w:r>
        <w:rPr>
          <w:sz w:val="20"/>
        </w:rPr>
        <w:t>Kumasi,</w:t>
      </w:r>
      <w:r>
        <w:rPr>
          <w:spacing w:val="1"/>
          <w:sz w:val="20"/>
        </w:rPr>
        <w:t> </w:t>
      </w:r>
      <w:r>
        <w:rPr>
          <w:sz w:val="20"/>
        </w:rPr>
        <w:t>Ghana.</w:t>
      </w:r>
      <w:r>
        <w:rPr>
          <w:spacing w:val="1"/>
          <w:sz w:val="20"/>
        </w:rPr>
        <w:t> </w:t>
      </w:r>
      <w:r>
        <w:rPr>
          <w:sz w:val="20"/>
        </w:rPr>
        <w:t>Ghana</w:t>
      </w:r>
      <w:r>
        <w:rPr>
          <w:spacing w:val="1"/>
          <w:sz w:val="20"/>
        </w:rPr>
        <w:t> </w:t>
      </w:r>
      <w:r>
        <w:rPr>
          <w:sz w:val="20"/>
        </w:rPr>
        <w:t>Med J</w:t>
      </w:r>
      <w:r>
        <w:rPr>
          <w:spacing w:val="1"/>
          <w:sz w:val="20"/>
        </w:rPr>
        <w:t> </w:t>
      </w:r>
      <w:r>
        <w:rPr>
          <w:sz w:val="20"/>
        </w:rPr>
        <w:t>2007;</w:t>
      </w:r>
      <w:r>
        <w:rPr>
          <w:spacing w:val="-2"/>
          <w:sz w:val="20"/>
        </w:rPr>
        <w:t> </w:t>
      </w:r>
      <w:r>
        <w:rPr>
          <w:sz w:val="20"/>
        </w:rPr>
        <w:t>41(1):26-29.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2" w:hanging="360"/>
        <w:jc w:val="both"/>
        <w:rPr>
          <w:sz w:val="20"/>
        </w:rPr>
      </w:pPr>
      <w:r>
        <w:rPr>
          <w:sz w:val="20"/>
        </w:rPr>
        <w:t>Cheesbrough M.( 2000) Examination of urine.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7"/>
          <w:sz w:val="20"/>
        </w:rPr>
        <w:t> </w:t>
      </w:r>
      <w:r>
        <w:rPr>
          <w:sz w:val="20"/>
        </w:rPr>
        <w:t>District</w:t>
      </w:r>
      <w:r>
        <w:rPr>
          <w:spacing w:val="8"/>
          <w:sz w:val="20"/>
        </w:rPr>
        <w:t> </w:t>
      </w:r>
      <w:r>
        <w:rPr>
          <w:sz w:val="20"/>
        </w:rPr>
        <w:t>laboratory</w:t>
      </w:r>
      <w:r>
        <w:rPr>
          <w:spacing w:val="5"/>
          <w:sz w:val="20"/>
        </w:rPr>
        <w:t> </w:t>
      </w:r>
      <w:r>
        <w:rPr>
          <w:sz w:val="20"/>
        </w:rPr>
        <w:t>practice</w:t>
      </w:r>
      <w:r>
        <w:rPr>
          <w:spacing w:val="8"/>
          <w:sz w:val="20"/>
        </w:rPr>
        <w:t> </w:t>
      </w:r>
      <w:r>
        <w:rPr>
          <w:sz w:val="20"/>
        </w:rPr>
        <w:t>in</w:t>
      </w:r>
      <w:r>
        <w:rPr>
          <w:spacing w:val="9"/>
          <w:sz w:val="20"/>
        </w:rPr>
        <w:t> </w:t>
      </w:r>
      <w:r>
        <w:rPr>
          <w:sz w:val="20"/>
        </w:rPr>
        <w:t>tropical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40" w:right="1320"/>
          <w:cols w:num="2" w:equalWidth="0">
            <w:col w:w="4296" w:space="576"/>
            <w:col w:w="4378"/>
          </w:cols>
        </w:sectPr>
      </w:pPr>
    </w:p>
    <w:p>
      <w:pPr>
        <w:pStyle w:val="Heading1"/>
      </w:pPr>
      <w:r>
        <w:rPr/>
        <w:t>91</w:t>
      </w:r>
    </w:p>
    <w:p>
      <w:pPr>
        <w:spacing w:line="226" w:lineRule="exact" w:before="0"/>
        <w:ind w:left="1819" w:right="183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[84 -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40" w:right="1320"/>
        </w:sectPr>
      </w:pPr>
    </w:p>
    <w:p>
      <w:pPr>
        <w:pStyle w:val="BodyText"/>
        <w:spacing w:line="276" w:lineRule="auto" w:before="91"/>
        <w:ind w:left="460" w:right="40"/>
        <w:jc w:val="both"/>
      </w:pPr>
      <w:r>
        <w:rPr/>
        <w:t>countries. Part 2. Cambridge University Press,</w:t>
      </w:r>
      <w:r>
        <w:rPr>
          <w:spacing w:val="1"/>
        </w:rPr>
        <w:t> </w:t>
      </w:r>
      <w:r>
        <w:rPr/>
        <w:t>Cambridge;</w:t>
      </w:r>
      <w:r>
        <w:rPr>
          <w:spacing w:val="-1"/>
        </w:rPr>
        <w:t> </w:t>
      </w:r>
      <w:r>
        <w:rPr/>
        <w:t>105-114.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Assefa A, Asrat D, Woldeamanuel Y, G/Hiwot</w:t>
      </w:r>
      <w:r>
        <w:rPr>
          <w:spacing w:val="-47"/>
          <w:sz w:val="20"/>
        </w:rPr>
        <w:t> </w:t>
      </w:r>
      <w:r>
        <w:rPr>
          <w:sz w:val="20"/>
        </w:rPr>
        <w:t>Y, Abdella A, Melesse T: Bacterial profile and</w:t>
      </w:r>
      <w:r>
        <w:rPr>
          <w:spacing w:val="-47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pattern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urinary</w:t>
      </w:r>
      <w:r>
        <w:rPr>
          <w:spacing w:val="1"/>
          <w:sz w:val="20"/>
        </w:rPr>
        <w:t> </w:t>
      </w:r>
      <w:r>
        <w:rPr>
          <w:sz w:val="20"/>
        </w:rPr>
        <w:t>tract</w:t>
      </w:r>
      <w:r>
        <w:rPr>
          <w:spacing w:val="1"/>
          <w:sz w:val="20"/>
        </w:rPr>
        <w:t> </w:t>
      </w:r>
      <w:r>
        <w:rPr>
          <w:sz w:val="20"/>
        </w:rPr>
        <w:t>infection in pregnant women at Tikur Anbessa</w:t>
      </w:r>
      <w:r>
        <w:rPr>
          <w:spacing w:val="1"/>
          <w:sz w:val="20"/>
        </w:rPr>
        <w:t> </w:t>
      </w:r>
      <w:r>
        <w:rPr>
          <w:sz w:val="20"/>
        </w:rPr>
        <w:t>Specialized</w:t>
      </w:r>
      <w:r>
        <w:rPr>
          <w:spacing w:val="1"/>
          <w:sz w:val="20"/>
        </w:rPr>
        <w:t> </w:t>
      </w:r>
      <w:r>
        <w:rPr>
          <w:sz w:val="20"/>
        </w:rPr>
        <w:t>Hospital</w:t>
      </w:r>
      <w:r>
        <w:rPr>
          <w:spacing w:val="1"/>
          <w:sz w:val="20"/>
        </w:rPr>
        <w:t> </w:t>
      </w:r>
      <w:r>
        <w:rPr>
          <w:sz w:val="20"/>
        </w:rPr>
        <w:t>Addis</w:t>
      </w:r>
      <w:r>
        <w:rPr>
          <w:spacing w:val="1"/>
          <w:sz w:val="20"/>
        </w:rPr>
        <w:t> </w:t>
      </w:r>
      <w:r>
        <w:rPr>
          <w:sz w:val="20"/>
        </w:rPr>
        <w:t>Ababa,</w:t>
      </w:r>
      <w:r>
        <w:rPr>
          <w:spacing w:val="1"/>
          <w:sz w:val="20"/>
        </w:rPr>
        <w:t> </w:t>
      </w:r>
      <w:r>
        <w:rPr>
          <w:sz w:val="20"/>
        </w:rPr>
        <w:t>Ethiopia.</w:t>
      </w:r>
      <w:r>
        <w:rPr>
          <w:spacing w:val="-47"/>
          <w:sz w:val="20"/>
        </w:rPr>
        <w:t> </w:t>
      </w:r>
      <w:r>
        <w:rPr>
          <w:sz w:val="20"/>
        </w:rPr>
        <w:t>Ethiopia</w:t>
      </w:r>
      <w:r>
        <w:rPr>
          <w:spacing w:val="-2"/>
          <w:sz w:val="20"/>
        </w:rPr>
        <w:t> </w:t>
      </w:r>
      <w:r>
        <w:rPr>
          <w:sz w:val="20"/>
        </w:rPr>
        <w:t>Medical</w:t>
      </w:r>
      <w:r>
        <w:rPr>
          <w:spacing w:val="-2"/>
          <w:sz w:val="20"/>
        </w:rPr>
        <w:t> </w:t>
      </w:r>
      <w:r>
        <w:rPr>
          <w:sz w:val="20"/>
        </w:rPr>
        <w:t>Journal</w:t>
      </w:r>
      <w:r>
        <w:rPr>
          <w:spacing w:val="-2"/>
          <w:sz w:val="20"/>
        </w:rPr>
        <w:t> </w:t>
      </w:r>
      <w:r>
        <w:rPr>
          <w:sz w:val="20"/>
        </w:rPr>
        <w:t>2008,</w:t>
      </w:r>
      <w:r>
        <w:rPr>
          <w:spacing w:val="-1"/>
          <w:sz w:val="20"/>
        </w:rPr>
        <w:t> </w:t>
      </w:r>
      <w:r>
        <w:rPr>
          <w:sz w:val="20"/>
        </w:rPr>
        <w:t>46:227–235.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1" w:after="0"/>
        <w:ind w:left="460" w:right="38" w:hanging="360"/>
        <w:jc w:val="both"/>
        <w:rPr>
          <w:sz w:val="20"/>
        </w:rPr>
      </w:pPr>
      <w:r>
        <w:rPr>
          <w:sz w:val="20"/>
        </w:rPr>
        <w:t>Mohammad M, Mahdy ZA, Omar J, Maan N,</w:t>
      </w:r>
      <w:r>
        <w:rPr>
          <w:spacing w:val="1"/>
          <w:sz w:val="20"/>
        </w:rPr>
        <w:t> </w:t>
      </w:r>
      <w:r>
        <w:rPr>
          <w:sz w:val="20"/>
        </w:rPr>
        <w:t>Jamil</w:t>
      </w:r>
      <w:r>
        <w:rPr>
          <w:spacing w:val="1"/>
          <w:sz w:val="20"/>
        </w:rPr>
        <w:t> </w:t>
      </w:r>
      <w:r>
        <w:rPr>
          <w:sz w:val="20"/>
        </w:rPr>
        <w:t>MA: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aspects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asymptomatic</w:t>
      </w:r>
      <w:r>
        <w:rPr>
          <w:spacing w:val="2"/>
          <w:sz w:val="20"/>
        </w:rPr>
        <w:t> </w:t>
      </w:r>
      <w:r>
        <w:rPr>
          <w:sz w:val="20"/>
        </w:rPr>
        <w:t>bacteriuria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50"/>
          <w:sz w:val="20"/>
        </w:rPr>
        <w:t> </w:t>
      </w:r>
      <w:r>
        <w:rPr>
          <w:sz w:val="20"/>
        </w:rPr>
        <w:t>pregnancy.</w:t>
      </w:r>
    </w:p>
    <w:p>
      <w:pPr>
        <w:pStyle w:val="BodyText"/>
        <w:spacing w:line="276" w:lineRule="auto" w:before="91"/>
        <w:ind w:left="460" w:right="120"/>
        <w:jc w:val="both"/>
      </w:pPr>
      <w:r>
        <w:rPr/>
        <w:br w:type="column"/>
      </w:r>
      <w:r>
        <w:rPr/>
        <w:t>Southeast</w:t>
      </w:r>
      <w:r>
        <w:rPr>
          <w:spacing w:val="1"/>
        </w:rPr>
        <w:t> </w:t>
      </w:r>
      <w:r>
        <w:rPr/>
        <w:t>Asian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Trop</w:t>
      </w:r>
      <w:r>
        <w:rPr>
          <w:spacing w:val="1"/>
        </w:rPr>
        <w:t> </w:t>
      </w:r>
      <w:r>
        <w:rPr/>
        <w:t>Med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2002,</w:t>
      </w:r>
      <w:r>
        <w:rPr>
          <w:spacing w:val="-3"/>
        </w:rPr>
        <w:t> </w:t>
      </w:r>
      <w:r>
        <w:rPr/>
        <w:t>33:575–580.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22" w:hanging="360"/>
        <w:jc w:val="both"/>
        <w:rPr>
          <w:sz w:val="20"/>
        </w:rPr>
      </w:pPr>
      <w:r>
        <w:rPr>
          <w:sz w:val="20"/>
        </w:rPr>
        <w:t>Albrich</w:t>
      </w:r>
      <w:r>
        <w:rPr>
          <w:spacing w:val="1"/>
          <w:sz w:val="20"/>
        </w:rPr>
        <w:t> </w:t>
      </w:r>
      <w:r>
        <w:rPr>
          <w:sz w:val="20"/>
        </w:rPr>
        <w:t>WC,</w:t>
      </w:r>
      <w:r>
        <w:rPr>
          <w:spacing w:val="1"/>
          <w:sz w:val="20"/>
        </w:rPr>
        <w:t> </w:t>
      </w:r>
      <w:r>
        <w:rPr>
          <w:sz w:val="20"/>
        </w:rPr>
        <w:t>Monnet</w:t>
      </w:r>
      <w:r>
        <w:rPr>
          <w:spacing w:val="1"/>
          <w:sz w:val="20"/>
        </w:rPr>
        <w:t> </w:t>
      </w:r>
      <w:r>
        <w:rPr>
          <w:sz w:val="20"/>
        </w:rPr>
        <w:t>DL,</w:t>
      </w:r>
      <w:r>
        <w:rPr>
          <w:spacing w:val="1"/>
          <w:sz w:val="20"/>
        </w:rPr>
        <w:t> </w:t>
      </w:r>
      <w:r>
        <w:rPr>
          <w:sz w:val="20"/>
        </w:rPr>
        <w:t>Harbarth</w:t>
      </w:r>
      <w:r>
        <w:rPr>
          <w:spacing w:val="1"/>
          <w:sz w:val="20"/>
        </w:rPr>
        <w:t> </w:t>
      </w:r>
      <w:r>
        <w:rPr>
          <w:sz w:val="20"/>
        </w:rPr>
        <w:t>S:</w:t>
      </w:r>
      <w:r>
        <w:rPr>
          <w:spacing w:val="1"/>
          <w:sz w:val="20"/>
        </w:rPr>
        <w:t> </w:t>
      </w:r>
      <w:r>
        <w:rPr>
          <w:sz w:val="20"/>
        </w:rPr>
        <w:t>Antibiotic selection pressure and resistance in</w:t>
      </w:r>
      <w:r>
        <w:rPr>
          <w:spacing w:val="1"/>
          <w:sz w:val="20"/>
        </w:rPr>
        <w:t> </w:t>
      </w:r>
      <w:r>
        <w:rPr>
          <w:sz w:val="20"/>
        </w:rPr>
        <w:t>Streptococcus pneumoniae and Streptococcus</w:t>
      </w:r>
      <w:r>
        <w:rPr>
          <w:spacing w:val="1"/>
          <w:sz w:val="20"/>
        </w:rPr>
        <w:t> </w:t>
      </w:r>
      <w:r>
        <w:rPr>
          <w:sz w:val="20"/>
        </w:rPr>
        <w:t>pyogenes.</w:t>
      </w:r>
      <w:r>
        <w:rPr>
          <w:spacing w:val="1"/>
          <w:sz w:val="20"/>
        </w:rPr>
        <w:t> </w:t>
      </w:r>
      <w:r>
        <w:rPr>
          <w:sz w:val="20"/>
        </w:rPr>
        <w:t>Emerging</w:t>
      </w:r>
      <w:r>
        <w:rPr>
          <w:spacing w:val="1"/>
          <w:sz w:val="20"/>
        </w:rPr>
        <w:t> </w:t>
      </w:r>
      <w:r>
        <w:rPr>
          <w:sz w:val="20"/>
        </w:rPr>
        <w:t>Infectious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-47"/>
          <w:sz w:val="20"/>
        </w:rPr>
        <w:t> </w:t>
      </w:r>
      <w:r>
        <w:rPr>
          <w:sz w:val="20"/>
        </w:rPr>
        <w:t>2004,38:363–371.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460" w:right="116" w:hanging="360"/>
        <w:jc w:val="both"/>
        <w:rPr>
          <w:sz w:val="20"/>
        </w:rPr>
      </w:pPr>
      <w:r>
        <w:rPr>
          <w:sz w:val="20"/>
        </w:rPr>
        <w:t>Abelson Storby K, Osterlund A, Kahlmeter G</w:t>
      </w:r>
      <w:r>
        <w:rPr>
          <w:spacing w:val="1"/>
          <w:sz w:val="20"/>
        </w:rPr>
        <w:t> </w:t>
      </w:r>
      <w:r>
        <w:rPr>
          <w:sz w:val="20"/>
        </w:rPr>
        <w:t>(2004) Antimicrobial resistance in Escherichia</w:t>
      </w:r>
      <w:r>
        <w:rPr>
          <w:spacing w:val="1"/>
          <w:sz w:val="20"/>
        </w:rPr>
        <w:t> </w:t>
      </w:r>
      <w:r>
        <w:rPr>
          <w:sz w:val="20"/>
        </w:rPr>
        <w:t>coli in urine samples from children and adults: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12</w:t>
      </w:r>
      <w:r>
        <w:rPr>
          <w:spacing w:val="20"/>
          <w:sz w:val="20"/>
        </w:rPr>
        <w:t> </w:t>
      </w:r>
      <w:r>
        <w:rPr>
          <w:sz w:val="20"/>
        </w:rPr>
        <w:t>year</w:t>
      </w:r>
      <w:r>
        <w:rPr>
          <w:spacing w:val="19"/>
          <w:sz w:val="20"/>
        </w:rPr>
        <w:t> </w:t>
      </w:r>
      <w:r>
        <w:rPr>
          <w:sz w:val="20"/>
        </w:rPr>
        <w:t>analysis.</w:t>
      </w:r>
      <w:r>
        <w:rPr>
          <w:spacing w:val="21"/>
          <w:sz w:val="20"/>
        </w:rPr>
        <w:t> </w:t>
      </w:r>
      <w:r>
        <w:rPr>
          <w:sz w:val="20"/>
        </w:rPr>
        <w:t>Acta</w:t>
      </w:r>
      <w:r>
        <w:rPr>
          <w:spacing w:val="18"/>
          <w:sz w:val="20"/>
        </w:rPr>
        <w:t> </w:t>
      </w:r>
      <w:r>
        <w:rPr>
          <w:sz w:val="20"/>
        </w:rPr>
        <w:t>Paediatr</w:t>
      </w:r>
      <w:r>
        <w:rPr>
          <w:spacing w:val="19"/>
          <w:sz w:val="20"/>
        </w:rPr>
        <w:t> </w:t>
      </w:r>
      <w:r>
        <w:rPr>
          <w:sz w:val="20"/>
        </w:rPr>
        <w:t>93:487–491.</w:t>
      </w:r>
    </w:p>
    <w:sectPr>
      <w:type w:val="continuous"/>
      <w:pgSz w:w="11910" w:h="16840"/>
      <w:pgMar w:top="620" w:bottom="280" w:left="1340" w:right="1320"/>
      <w:cols w:num="2" w:equalWidth="0">
        <w:col w:w="4290" w:space="582"/>
        <w:col w:w="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6103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6097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1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ind w:left="10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yitayalshiferaw@yahoo.co.uk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2023-09-28T04:41:30Z</dcterms:created>
  <dcterms:modified xsi:type="dcterms:W3CDTF">2023-09-28T04:41:30Z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