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134"/>
        <w:ind w:left="462" w:right="0" w:firstLine="0"/>
        <w:jc w:val="left"/>
        <w:rPr>
          <w:b/>
          <w:i/>
          <w:sz w:val="24"/>
        </w:rPr>
      </w:pPr>
      <w:r>
        <w:rPr/>
        <w:pict>
          <v:shape style="position:absolute;margin-left:70.559006pt;margin-top:4.223079pt;width:109.45pt;height:1.35pt;mso-position-horizontal-relative:page;mso-position-vertical-relative:paragraph;z-index:15730688" coordorigin="1411,84" coordsize="2189,27" path="m3600,104l1411,104,1411,111,3600,111,3600,104xm3600,84l1411,84,1411,92,3600,92,3600,84xe" filled="true" fillcolor="#000000" stroked="false">
            <v:path arrowok="t"/>
            <v:fill type="solid"/>
            <w10:wrap type="none"/>
          </v:shape>
        </w:pict>
      </w:r>
      <w:r>
        <w:rPr>
          <w:b/>
          <w:i/>
          <w:sz w:val="24"/>
        </w:rPr>
        <w:t>Research</w:t>
      </w:r>
      <w:r>
        <w:rPr>
          <w:b/>
          <w:i/>
          <w:spacing w:val="-15"/>
          <w:sz w:val="24"/>
        </w:rPr>
        <w:t> </w:t>
      </w:r>
      <w:r>
        <w:rPr>
          <w:b/>
          <w:i/>
          <w:sz w:val="24"/>
        </w:rPr>
        <w:t>Article</w:t>
      </w:r>
    </w:p>
    <w:p>
      <w:pPr>
        <w:pStyle w:val="BodyText"/>
        <w:rPr>
          <w:b/>
          <w:i/>
        </w:rPr>
      </w:pPr>
      <w:r>
        <w:rPr/>
        <w:br w:type="column"/>
      </w:r>
      <w:r>
        <w:rPr>
          <w:b/>
          <w:i/>
        </w:rPr>
      </w: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spacing w:before="121"/>
        <w:ind w:left="421" w:right="0" w:firstLine="0"/>
        <w:jc w:val="left"/>
        <w:rPr>
          <w:b/>
          <w:sz w:val="18"/>
        </w:rPr>
      </w:pPr>
      <w:r>
        <w:rPr/>
        <w:pict>
          <v:group style="position:absolute;margin-left:70.559998pt;margin-top:-45.307625pt;width:109.45pt;height:96.75pt;mso-position-horizontal-relative:page;mso-position-vertical-relative:paragraph;z-index:15731200" coordorigin="1411,-906" coordsize="2189,1935">
            <v:shape style="position:absolute;left:1411;top:-907;width:2189;height:27" coordorigin="1411,-906" coordsize="2189,27" path="m3600,-887l1411,-887,1411,-880,3600,-880,3600,-887xm3600,-906l1411,-906,1411,-899,3600,-899,3600,-906xe" filled="true" fillcolor="#000000" stroked="false">
              <v:path arrowok="t"/>
              <v:fill type="solid"/>
            </v:shape>
            <v:shape style="position:absolute;left:1495;top:-880;width:2021;height:1858" type="#_x0000_t75" stroked="false">
              <v:imagedata r:id="rId7" o:title=""/>
            </v:shape>
            <v:shape style="position:absolute;left:1439;top:1021;width:2132;height:8" coordorigin="1440,1021" coordsize="2132,8" path="m1966,1021l1440,1021,1440,1028,1966,1028,1966,1021xm1975,1021l1968,1021,1968,1028,1975,1028,1975,1021xm2604,1021l1978,1021,1978,1028,2604,1028,2604,1021xm2614,1021l2606,1021,2606,1028,2614,1028,2614,1021xm3571,1021l2616,1021,2616,1028,3571,1028,3571,1021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b/>
          <w:w w:val="105"/>
          <w:sz w:val="18"/>
        </w:rPr>
        <w:t>Available</w:t>
      </w:r>
      <w:r>
        <w:rPr>
          <w:b/>
          <w:spacing w:val="-6"/>
          <w:w w:val="105"/>
          <w:sz w:val="18"/>
        </w:rPr>
        <w:t> </w:t>
      </w:r>
      <w:r>
        <w:rPr>
          <w:b/>
          <w:w w:val="105"/>
          <w:sz w:val="18"/>
        </w:rPr>
        <w:t>Online</w:t>
      </w:r>
      <w:r>
        <w:rPr>
          <w:b/>
          <w:spacing w:val="-7"/>
          <w:w w:val="105"/>
          <w:sz w:val="18"/>
        </w:rPr>
        <w:t> </w:t>
      </w:r>
      <w:r>
        <w:rPr>
          <w:b/>
          <w:w w:val="105"/>
          <w:sz w:val="18"/>
        </w:rPr>
        <w:t>at:</w:t>
      </w:r>
      <w:r>
        <w:rPr>
          <w:b/>
          <w:spacing w:val="-7"/>
          <w:w w:val="105"/>
          <w:sz w:val="18"/>
        </w:rPr>
        <w:t> </w:t>
      </w:r>
      <w:hyperlink r:id="rId8">
        <w:r>
          <w:rPr>
            <w:b/>
            <w:w w:val="105"/>
            <w:sz w:val="18"/>
          </w:rPr>
          <w:t>www.ijpir.com</w:t>
        </w:r>
      </w:hyperlink>
    </w:p>
    <w:p>
      <w:pPr>
        <w:pStyle w:val="BodyText"/>
        <w:spacing w:before="1"/>
        <w:rPr>
          <w:b/>
          <w:sz w:val="41"/>
        </w:rPr>
      </w:pPr>
      <w:r>
        <w:rPr/>
        <w:br w:type="column"/>
      </w:r>
      <w:r>
        <w:rPr>
          <w:b/>
          <w:sz w:val="41"/>
        </w:rPr>
      </w:r>
    </w:p>
    <w:p>
      <w:pPr>
        <w:pStyle w:val="Title"/>
        <w:spacing w:line="242" w:lineRule="auto"/>
      </w:pPr>
      <w:r>
        <w:rPr/>
        <w:pict>
          <v:shape style="position:absolute;margin-left:349.559021pt;margin-top:-3.66256pt;width:189.75pt;height:3.5pt;mso-position-horizontal-relative:page;mso-position-vertical-relative:paragraph;z-index:15731712" coordorigin="6991,-73" coordsize="3795,70" path="m10786,-16l6991,-16,6991,-4,10786,-4,10786,-16xm10786,-73l6991,-73,6991,-47,10786,-47,10786,-73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349.559021pt;margin-top:64.017441pt;width:189.75pt;height:3.5pt;mso-position-horizontal-relative:page;mso-position-vertical-relative:paragraph;z-index:15732224" coordorigin="6991,1280" coordsize="3795,70" path="m10786,1324l6991,1324,6991,1350,10786,1350,10786,1324xm10786,1280l6991,1280,6991,1292,10786,1292,10786,1280xe" filled="true" fillcolor="#000000" stroked="false">
            <v:path arrowok="t"/>
            <v:fill type="solid"/>
            <w10:wrap type="none"/>
          </v:shape>
        </w:pict>
      </w:r>
      <w:r>
        <w:rPr/>
        <w:t>International Journal of</w:t>
      </w:r>
      <w:r>
        <w:rPr>
          <w:spacing w:val="1"/>
        </w:rPr>
        <w:t> </w:t>
      </w:r>
      <w:r>
        <w:rPr/>
        <w:t>Pharmacy and Industrial</w:t>
      </w:r>
      <w:r>
        <w:rPr>
          <w:spacing w:val="-78"/>
        </w:rPr>
        <w:t> </w:t>
      </w:r>
      <w:r>
        <w:rPr/>
        <w:t>Research</w:t>
      </w:r>
    </w:p>
    <w:p>
      <w:pPr>
        <w:spacing w:after="0" w:line="242" w:lineRule="auto"/>
        <w:sectPr>
          <w:headerReference w:type="default" r:id="rId5"/>
          <w:headerReference w:type="even" r:id="rId6"/>
          <w:type w:val="continuous"/>
          <w:pgSz w:w="11910" w:h="16840"/>
          <w:pgMar w:header="722" w:top="1340" w:bottom="280" w:left="1220" w:right="1220"/>
          <w:pgNumType w:start="41"/>
          <w:cols w:num="3" w:equalWidth="0">
            <w:col w:w="2109" w:space="40"/>
            <w:col w:w="3286" w:space="39"/>
            <w:col w:w="3996"/>
          </w:cols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spacing w:after="0"/>
        <w:sectPr>
          <w:type w:val="continuous"/>
          <w:pgSz w:w="11910" w:h="16840"/>
          <w:pgMar w:top="1340" w:bottom="280" w:left="1220" w:right="1220"/>
        </w:sectPr>
      </w:pPr>
    </w:p>
    <w:p>
      <w:pPr>
        <w:pStyle w:val="BodyText"/>
        <w:rPr>
          <w:b/>
          <w:sz w:val="14"/>
        </w:rPr>
      </w:pPr>
    </w:p>
    <w:p>
      <w:pPr>
        <w:pStyle w:val="BodyText"/>
        <w:spacing w:before="2"/>
        <w:rPr>
          <w:b/>
          <w:sz w:val="17"/>
        </w:rPr>
      </w:pPr>
    </w:p>
    <w:p>
      <w:pPr>
        <w:spacing w:before="1"/>
        <w:ind w:left="328" w:right="0" w:firstLine="0"/>
        <w:jc w:val="left"/>
        <w:rPr>
          <w:b/>
          <w:sz w:val="14"/>
        </w:rPr>
      </w:pPr>
      <w:r>
        <w:rPr>
          <w:b/>
          <w:spacing w:val="-1"/>
          <w:sz w:val="14"/>
        </w:rPr>
        <w:t>ISSN</w:t>
      </w:r>
    </w:p>
    <w:p>
      <w:pPr>
        <w:tabs>
          <w:tab w:pos="1539" w:val="right" w:leader="none"/>
        </w:tabs>
        <w:spacing w:before="239"/>
        <w:ind w:left="178" w:right="0" w:firstLine="0"/>
        <w:jc w:val="left"/>
        <w:rPr>
          <w:b/>
          <w:sz w:val="14"/>
        </w:rPr>
      </w:pPr>
      <w:r>
        <w:rPr/>
        <w:br w:type="column"/>
      </w:r>
      <w:r>
        <w:rPr>
          <w:b/>
          <w:sz w:val="14"/>
        </w:rPr>
        <w:t>Print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3648</w:t>
      </w:r>
    </w:p>
    <w:p>
      <w:pPr>
        <w:tabs>
          <w:tab w:pos="1539" w:val="right" w:leader="none"/>
        </w:tabs>
        <w:spacing w:before="81"/>
        <w:ind w:left="178" w:right="0" w:firstLine="0"/>
        <w:jc w:val="left"/>
        <w:rPr>
          <w:b/>
          <w:sz w:val="14"/>
        </w:rPr>
      </w:pPr>
      <w:r>
        <w:rPr>
          <w:b/>
          <w:sz w:val="14"/>
        </w:rPr>
        <w:t>Online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3656</w:t>
      </w:r>
    </w:p>
    <w:p>
      <w:pPr>
        <w:spacing w:after="0"/>
        <w:jc w:val="left"/>
        <w:rPr>
          <w:sz w:val="14"/>
        </w:rPr>
        <w:sectPr>
          <w:type w:val="continuous"/>
          <w:pgSz w:w="11910" w:h="16840"/>
          <w:pgMar w:top="1340" w:bottom="280" w:left="1220" w:right="1220"/>
          <w:cols w:num="2" w:equalWidth="0">
            <w:col w:w="638" w:space="40"/>
            <w:col w:w="8792"/>
          </w:cols>
        </w:sectPr>
      </w:pPr>
    </w:p>
    <w:p>
      <w:pPr>
        <w:pStyle w:val="BodyText"/>
        <w:spacing w:before="2"/>
        <w:rPr>
          <w:b/>
          <w:sz w:val="7"/>
        </w:rPr>
      </w:pPr>
    </w:p>
    <w:p>
      <w:pPr>
        <w:pStyle w:val="BodyText"/>
        <w:spacing w:line="20" w:lineRule="exact"/>
        <w:ind w:left="220"/>
        <w:rPr>
          <w:sz w:val="2"/>
        </w:rPr>
      </w:pPr>
      <w:r>
        <w:rPr>
          <w:sz w:val="2"/>
        </w:rPr>
        <w:pict>
          <v:group style="width:106.6pt;height:.4pt;mso-position-horizontal-relative:char;mso-position-vertical-relative:line" coordorigin="0,0" coordsize="2132,8">
            <v:shape style="position:absolute;left:-1;top:0;width:2132;height:8" coordorigin="0,0" coordsize="2132,8" path="m526,0l0,0,0,7,526,7,526,0xm535,0l528,0,528,7,535,7,535,0xm1164,0l538,0,538,7,1164,7,1164,0xm1174,0l1166,0,1166,7,1174,7,1174,0xm2131,0l1176,0,1176,7,2131,7,2131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spacing w:line="276" w:lineRule="auto" w:before="177"/>
        <w:ind w:left="469" w:right="475" w:firstLine="0"/>
        <w:jc w:val="center"/>
        <w:rPr>
          <w:b/>
          <w:sz w:val="26"/>
        </w:rPr>
      </w:pPr>
      <w:r>
        <w:rPr>
          <w:b/>
          <w:sz w:val="26"/>
        </w:rPr>
        <w:t>FREQUENCY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AND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ANTIMICROBIAL</w:t>
      </w:r>
      <w:r>
        <w:rPr>
          <w:b/>
          <w:spacing w:val="-9"/>
          <w:sz w:val="26"/>
        </w:rPr>
        <w:t> </w:t>
      </w:r>
      <w:r>
        <w:rPr>
          <w:b/>
          <w:sz w:val="26"/>
        </w:rPr>
        <w:t>SUSCEPTIBILITY</w:t>
      </w:r>
      <w:r>
        <w:rPr>
          <w:b/>
          <w:spacing w:val="-10"/>
          <w:sz w:val="26"/>
        </w:rPr>
        <w:t> </w:t>
      </w:r>
      <w:r>
        <w:rPr>
          <w:b/>
          <w:sz w:val="26"/>
        </w:rPr>
        <w:t>PATTERN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OF</w:t>
      </w:r>
      <w:r>
        <w:rPr>
          <w:b/>
          <w:spacing w:val="-62"/>
          <w:sz w:val="26"/>
        </w:rPr>
        <w:t> </w:t>
      </w:r>
      <w:r>
        <w:rPr>
          <w:b/>
          <w:sz w:val="26"/>
        </w:rPr>
        <w:t>BACTERIA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ISOLATED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FROM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CSF</w:t>
      </w:r>
      <w:r>
        <w:rPr>
          <w:b/>
          <w:spacing w:val="1"/>
          <w:sz w:val="26"/>
        </w:rPr>
        <w:t> </w:t>
      </w:r>
      <w:r>
        <w:rPr>
          <w:b/>
          <w:sz w:val="26"/>
        </w:rPr>
        <w:t>IN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UNIVERSITY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OF</w:t>
      </w:r>
    </w:p>
    <w:p>
      <w:pPr>
        <w:spacing w:line="298" w:lineRule="exact" w:before="0"/>
        <w:ind w:left="468" w:right="475" w:firstLine="0"/>
        <w:jc w:val="center"/>
        <w:rPr>
          <w:b/>
          <w:sz w:val="26"/>
        </w:rPr>
      </w:pPr>
      <w:r>
        <w:rPr>
          <w:b/>
          <w:sz w:val="26"/>
        </w:rPr>
        <w:t>GONDAR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HOSPITAL,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NORTH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WEST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ETHIOPIA</w:t>
      </w:r>
    </w:p>
    <w:p>
      <w:pPr>
        <w:pStyle w:val="Heading1"/>
        <w:spacing w:line="278" w:lineRule="auto" w:before="39"/>
        <w:ind w:left="1290" w:right="1290"/>
        <w:jc w:val="center"/>
      </w:pPr>
      <w:r>
        <w:rPr>
          <w:vertAlign w:val="superscript"/>
        </w:rPr>
        <w:t>*</w:t>
      </w:r>
      <w:r>
        <w:rPr>
          <w:vertAlign w:val="baseline"/>
        </w:rPr>
        <w:t>Zelalem Addis, Meseret Birhane, Biniam Mathewos, Abebaw Tilahun,</w:t>
      </w:r>
      <w:r>
        <w:rPr>
          <w:spacing w:val="-57"/>
          <w:vertAlign w:val="baseline"/>
        </w:rPr>
        <w:t> </w:t>
      </w:r>
      <w:r>
        <w:rPr>
          <w:vertAlign w:val="baseline"/>
        </w:rPr>
        <w:t>Bazezew</w:t>
      </w:r>
      <w:r>
        <w:rPr>
          <w:spacing w:val="-2"/>
          <w:vertAlign w:val="baseline"/>
        </w:rPr>
        <w:t> </w:t>
      </w:r>
      <w:r>
        <w:rPr>
          <w:vertAlign w:val="baseline"/>
        </w:rPr>
        <w:t>Tessema, Kirkm</w:t>
      </w:r>
      <w:r>
        <w:rPr>
          <w:spacing w:val="2"/>
          <w:vertAlign w:val="baseline"/>
        </w:rPr>
        <w:t> </w:t>
      </w:r>
      <w:r>
        <w:rPr>
          <w:vertAlign w:val="baseline"/>
        </w:rPr>
        <w:t>Getahun</w:t>
      </w:r>
    </w:p>
    <w:p>
      <w:pPr>
        <w:spacing w:line="276" w:lineRule="auto" w:before="0"/>
        <w:ind w:left="469" w:right="472" w:firstLine="0"/>
        <w:jc w:val="center"/>
        <w:rPr>
          <w:sz w:val="22"/>
        </w:rPr>
      </w:pPr>
      <w:r>
        <w:rPr>
          <w:sz w:val="22"/>
        </w:rPr>
        <w:t>School of Biomedical and Laboratory sciences, College of Medicine and Health Sciences,</w:t>
      </w:r>
      <w:r>
        <w:rPr>
          <w:spacing w:val="-52"/>
          <w:sz w:val="22"/>
        </w:rPr>
        <w:t> </w:t>
      </w:r>
      <w:r>
        <w:rPr>
          <w:sz w:val="22"/>
        </w:rPr>
        <w:t>University</w:t>
      </w:r>
      <w:r>
        <w:rPr>
          <w:spacing w:val="-3"/>
          <w:sz w:val="22"/>
        </w:rPr>
        <w:t> </w:t>
      </w:r>
      <w:r>
        <w:rPr>
          <w:sz w:val="22"/>
        </w:rPr>
        <w:t>of Gondar, Ethiopia.</w:t>
      </w:r>
    </w:p>
    <w:p>
      <w:pPr>
        <w:pStyle w:val="BodyText"/>
        <w:spacing w:before="4"/>
        <w:rPr>
          <w:sz w:val="18"/>
        </w:rPr>
      </w:pPr>
      <w:r>
        <w:rPr/>
        <w:pict>
          <v:group style="position:absolute;margin-left:72.599998pt;margin-top:12.50632pt;width:450.05pt;height:1.3pt;mso-position-horizontal-relative:page;mso-position-vertical-relative:paragraph;z-index:-15728128;mso-wrap-distance-left:0;mso-wrap-distance-right:0" coordorigin="1452,250" coordsize="9001,26">
            <v:line style="position:absolute" from="1452,268" to="10452,268" stroked="true" strokeweight=".756pt" strokecolor="#000000">
              <v:stroke dashstyle="solid"/>
            </v:line>
            <v:rect style="position:absolute;left:1452;top:250;width:8998;height:22" filled="true" fillcolor="#000000" stroked="false">
              <v:fill type="solid"/>
            </v:rect>
            <w10:wrap type="topAndBottom"/>
          </v:group>
        </w:pict>
      </w:r>
    </w:p>
    <w:p>
      <w:pPr>
        <w:pStyle w:val="Heading2"/>
        <w:spacing w:before="11"/>
      </w:pPr>
      <w:r>
        <w:rPr/>
        <w:t>Abstract</w:t>
      </w:r>
    </w:p>
    <w:p>
      <w:pPr>
        <w:pStyle w:val="BodyText"/>
        <w:spacing w:line="276" w:lineRule="auto" w:before="37"/>
        <w:ind w:left="220" w:right="218"/>
        <w:jc w:val="both"/>
      </w:pPr>
      <w:r>
        <w:rPr/>
        <w:t>Bacterial</w:t>
      </w:r>
      <w:r>
        <w:rPr>
          <w:spacing w:val="1"/>
        </w:rPr>
        <w:t> </w:t>
      </w:r>
      <w:r>
        <w:rPr/>
        <w:t>meningitis</w:t>
      </w:r>
      <w:r>
        <w:rPr>
          <w:spacing w:val="1"/>
        </w:rPr>
        <w:t> </w:t>
      </w:r>
      <w:r>
        <w:rPr/>
        <w:t>remains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common</w:t>
      </w:r>
      <w:r>
        <w:rPr>
          <w:spacing w:val="1"/>
        </w:rPr>
        <w:t> </w:t>
      </w:r>
      <w:r>
        <w:rPr/>
        <w:t>disease</w:t>
      </w:r>
      <w:r>
        <w:rPr>
          <w:spacing w:val="1"/>
        </w:rPr>
        <w:t> </w:t>
      </w:r>
      <w:r>
        <w:rPr/>
        <w:t>worldwide.</w:t>
      </w:r>
      <w:r>
        <w:rPr>
          <w:spacing w:val="1"/>
        </w:rPr>
        <w:t> </w:t>
      </w:r>
      <w:r>
        <w:rPr/>
        <w:t>Information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relative</w:t>
      </w:r>
      <w:r>
        <w:rPr>
          <w:spacing w:val="1"/>
        </w:rPr>
        <w:t> </w:t>
      </w:r>
      <w:r>
        <w:rPr/>
        <w:t>frequency</w:t>
      </w:r>
      <w:r>
        <w:rPr>
          <w:spacing w:val="1"/>
        </w:rPr>
        <w:t> </w:t>
      </w:r>
      <w:r>
        <w:rPr/>
        <w:t>of</w:t>
      </w:r>
      <w:r>
        <w:rPr>
          <w:spacing w:val="50"/>
        </w:rPr>
        <w:t> </w:t>
      </w:r>
      <w:r>
        <w:rPr/>
        <w:t>the</w:t>
      </w:r>
      <w:r>
        <w:rPr>
          <w:spacing w:val="1"/>
        </w:rPr>
        <w:t> </w:t>
      </w:r>
      <w:r>
        <w:rPr/>
        <w:t>isolation and antibiotic susceptibility patterns of these pathogens is of paramount importance in combating</w:t>
      </w:r>
      <w:r>
        <w:rPr>
          <w:spacing w:val="1"/>
        </w:rPr>
        <w:t> </w:t>
      </w:r>
      <w:r>
        <w:rPr/>
        <w:t>antimicrobial resistance and for successful management of meningitis patients. The aim of this study was to</w:t>
      </w:r>
      <w:r>
        <w:rPr>
          <w:spacing w:val="1"/>
        </w:rPr>
        <w:t> </w:t>
      </w:r>
      <w:r>
        <w:rPr/>
        <w:t>assess the common bacterial isolates and their antimicrobial resistance pattern. Data about 1754 CSF samples</w:t>
      </w:r>
      <w:r>
        <w:rPr>
          <w:spacing w:val="1"/>
        </w:rPr>
        <w:t> </w:t>
      </w:r>
      <w:r>
        <w:rPr/>
        <w:t>delivered for culture from September 2009 to March 2011 was retrospectively collected from microbiology</w:t>
      </w:r>
      <w:r>
        <w:rPr>
          <w:spacing w:val="1"/>
        </w:rPr>
        <w:t> </w:t>
      </w:r>
      <w:r>
        <w:rPr/>
        <w:t>registration book of university of Gondar Hospital laboratory. Bacteria were isolated from 75 patients which</w:t>
      </w:r>
      <w:r>
        <w:rPr>
          <w:spacing w:val="1"/>
        </w:rPr>
        <w:t> </w:t>
      </w:r>
      <w:r>
        <w:rPr/>
        <w:t>makes the isolation rate 4.3%; 3.7% among males and 5.1 % among females. The common bacterial isolates</w:t>
      </w:r>
      <w:r>
        <w:rPr>
          <w:spacing w:val="1"/>
        </w:rPr>
        <w:t> </w:t>
      </w:r>
      <w:r>
        <w:rPr/>
        <w:t>were </w:t>
      </w:r>
      <w:r>
        <w:rPr>
          <w:i/>
        </w:rPr>
        <w:t>S.pneumoniae </w:t>
      </w:r>
      <w:r>
        <w:rPr/>
        <w:t>(32.8%) followed by </w:t>
      </w:r>
      <w:r>
        <w:rPr>
          <w:i/>
        </w:rPr>
        <w:t>N.meningitdis </w:t>
      </w:r>
      <w:r>
        <w:rPr/>
        <w:t>(30.2%) and </w:t>
      </w:r>
      <w:r>
        <w:rPr>
          <w:i/>
        </w:rPr>
        <w:t>E.coli </w:t>
      </w:r>
      <w:r>
        <w:rPr/>
        <w:t>(10.5%). </w:t>
      </w:r>
      <w:r>
        <w:rPr>
          <w:i/>
        </w:rPr>
        <w:t>S. pneumoniae </w:t>
      </w:r>
      <w:r>
        <w:rPr/>
        <w:t>showed a</w:t>
      </w:r>
      <w:r>
        <w:rPr>
          <w:spacing w:val="1"/>
        </w:rPr>
        <w:t> </w:t>
      </w:r>
      <w:r>
        <w:rPr/>
        <w:t>high level of drug resistance against cotrimoxazole (81.8%), gentamycin (69.6%) and tetracycline (60%). The</w:t>
      </w:r>
      <w:r>
        <w:rPr>
          <w:spacing w:val="1"/>
        </w:rPr>
        <w:t> </w:t>
      </w:r>
      <w:r>
        <w:rPr/>
        <w:t>single isolate of Veridian streptococci was 100% resistant to ciprofloxacin, erythromycin, gentamycin and co-</w:t>
      </w:r>
      <w:r>
        <w:rPr>
          <w:spacing w:val="1"/>
        </w:rPr>
        <w:t> </w:t>
      </w:r>
      <w:r>
        <w:rPr/>
        <w:t>trimoxazol. </w:t>
      </w:r>
      <w:r>
        <w:rPr>
          <w:i/>
        </w:rPr>
        <w:t>N. meningitides </w:t>
      </w:r>
      <w:r>
        <w:rPr/>
        <w:t>was 95.3% and 57% resistant to cotrimoxazole, and gentamycin respectively while</w:t>
      </w:r>
      <w:r>
        <w:rPr>
          <w:spacing w:val="1"/>
        </w:rPr>
        <w:t> </w:t>
      </w:r>
      <w:r>
        <w:rPr/>
        <w:t>they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sensitive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penicillin</w:t>
      </w:r>
      <w:r>
        <w:rPr>
          <w:spacing w:val="1"/>
        </w:rPr>
        <w:t> </w:t>
      </w:r>
      <w:r>
        <w:rPr/>
        <w:t>(100%)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ceftriaxone</w:t>
      </w:r>
      <w:r>
        <w:rPr>
          <w:spacing w:val="1"/>
        </w:rPr>
        <w:t> </w:t>
      </w:r>
      <w:r>
        <w:rPr/>
        <w:t>(90.9%).</w:t>
      </w:r>
      <w:r>
        <w:rPr>
          <w:spacing w:val="1"/>
        </w:rPr>
        <w:t> </w:t>
      </w:r>
      <w:r>
        <w:rPr>
          <w:i/>
        </w:rPr>
        <w:t>E.</w:t>
      </w:r>
      <w:r>
        <w:rPr>
          <w:i/>
          <w:spacing w:val="1"/>
        </w:rPr>
        <w:t> </w:t>
      </w:r>
      <w:r>
        <w:rPr>
          <w:i/>
        </w:rPr>
        <w:t>coli</w:t>
      </w:r>
      <w:r>
        <w:rPr>
          <w:i/>
          <w:spacing w:val="1"/>
        </w:rPr>
        <w:t> </w:t>
      </w:r>
      <w:r>
        <w:rPr/>
        <w:t>showed</w:t>
      </w:r>
      <w:r>
        <w:rPr>
          <w:spacing w:val="1"/>
        </w:rPr>
        <w:t> </w:t>
      </w:r>
      <w:r>
        <w:rPr/>
        <w:t>100%</w:t>
      </w:r>
      <w:r>
        <w:rPr>
          <w:spacing w:val="1"/>
        </w:rPr>
        <w:t> </w:t>
      </w:r>
      <w:r>
        <w:rPr/>
        <w:t>resistance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cotrimoxzole, tetracycline, ampicllin and naldixic acid but the isolates were 100% sensitive to ceftriaxone. This</w:t>
      </w:r>
      <w:r>
        <w:rPr>
          <w:spacing w:val="1"/>
        </w:rPr>
        <w:t> </w:t>
      </w:r>
      <w:r>
        <w:rPr/>
        <w:t>study concluded</w:t>
      </w:r>
      <w:r>
        <w:rPr>
          <w:spacing w:val="1"/>
        </w:rPr>
        <w:t> </w:t>
      </w:r>
      <w:r>
        <w:rPr/>
        <w:t>that the common bacterial pathogens responsible</w:t>
      </w:r>
      <w:r>
        <w:rPr>
          <w:spacing w:val="1"/>
        </w:rPr>
        <w:t> </w:t>
      </w:r>
      <w:r>
        <w:rPr/>
        <w:t>for</w:t>
      </w:r>
      <w:r>
        <w:rPr>
          <w:spacing w:val="50"/>
        </w:rPr>
        <w:t> </w:t>
      </w:r>
      <w:r>
        <w:rPr/>
        <w:t>meningitis in the study area are still</w:t>
      </w:r>
      <w:r>
        <w:rPr>
          <w:spacing w:val="1"/>
        </w:rPr>
        <w:t> </w:t>
      </w:r>
      <w:r>
        <w:rPr/>
        <w:t>similar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previous</w:t>
      </w:r>
      <w:r>
        <w:rPr>
          <w:spacing w:val="1"/>
        </w:rPr>
        <w:t> </w:t>
      </w:r>
      <w:r>
        <w:rPr/>
        <w:t>reports</w:t>
      </w:r>
      <w:r>
        <w:rPr>
          <w:spacing w:val="1"/>
        </w:rPr>
        <w:t> </w:t>
      </w:r>
      <w:r>
        <w:rPr/>
        <w:t>though</w:t>
      </w:r>
      <w:r>
        <w:rPr>
          <w:spacing w:val="1"/>
        </w:rPr>
        <w:t> </w:t>
      </w:r>
      <w:r>
        <w:rPr/>
        <w:t>there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differences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rate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isolation.</w:t>
      </w:r>
      <w:r>
        <w:rPr>
          <w:spacing w:val="1"/>
        </w:rPr>
        <w:t> </w:t>
      </w:r>
      <w:r>
        <w:rPr/>
        <w:t>These</w:t>
      </w:r>
      <w:r>
        <w:rPr>
          <w:spacing w:val="1"/>
        </w:rPr>
        <w:t> </w:t>
      </w:r>
      <w:r>
        <w:rPr/>
        <w:t>Several</w:t>
      </w:r>
      <w:r>
        <w:rPr>
          <w:spacing w:val="1"/>
        </w:rPr>
        <w:t> </w:t>
      </w:r>
      <w:r>
        <w:rPr/>
        <w:t>bacteria</w:t>
      </w:r>
      <w:r>
        <w:rPr>
          <w:spacing w:val="1"/>
        </w:rPr>
        <w:t> </w:t>
      </w:r>
      <w:r>
        <w:rPr/>
        <w:t>have</w:t>
      </w:r>
      <w:r>
        <w:rPr>
          <w:spacing w:val="-47"/>
        </w:rPr>
        <w:t> </w:t>
      </w:r>
      <w:r>
        <w:rPr/>
        <w:t>developed</w:t>
      </w:r>
      <w:r>
        <w:rPr>
          <w:spacing w:val="1"/>
        </w:rPr>
        <w:t> </w:t>
      </w:r>
      <w:r>
        <w:rPr/>
        <w:t>antimicrobial</w:t>
      </w:r>
      <w:r>
        <w:rPr>
          <w:spacing w:val="1"/>
        </w:rPr>
        <w:t> </w:t>
      </w:r>
      <w:r>
        <w:rPr/>
        <w:t>resistance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conventional</w:t>
      </w:r>
      <w:r>
        <w:rPr>
          <w:spacing w:val="1"/>
        </w:rPr>
        <w:t> </w:t>
      </w:r>
      <w:r>
        <w:rPr/>
        <w:t>antibiotic</w:t>
      </w:r>
      <w:r>
        <w:rPr>
          <w:spacing w:val="1"/>
        </w:rPr>
        <w:t> </w:t>
      </w:r>
      <w:r>
        <w:rPr/>
        <w:t>regimes.</w:t>
      </w:r>
      <w:r>
        <w:rPr>
          <w:spacing w:val="1"/>
        </w:rPr>
        <w:t> </w:t>
      </w:r>
      <w:r>
        <w:rPr/>
        <w:t>Large</w:t>
      </w:r>
      <w:r>
        <w:rPr>
          <w:spacing w:val="1"/>
        </w:rPr>
        <w:t> </w:t>
      </w:r>
      <w:r>
        <w:rPr/>
        <w:t>scale</w:t>
      </w:r>
      <w:r>
        <w:rPr>
          <w:spacing w:val="1"/>
        </w:rPr>
        <w:t> </w:t>
      </w:r>
      <w:r>
        <w:rPr/>
        <w:t>studies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continuous</w:t>
      </w:r>
      <w:r>
        <w:rPr>
          <w:spacing w:val="-47"/>
        </w:rPr>
        <w:t> </w:t>
      </w:r>
      <w:r>
        <w:rPr/>
        <w:t>assessment</w:t>
      </w:r>
      <w:r>
        <w:rPr>
          <w:spacing w:val="9"/>
        </w:rPr>
        <w:t> </w:t>
      </w:r>
      <w:r>
        <w:rPr/>
        <w:t>of</w:t>
      </w:r>
      <w:r>
        <w:rPr>
          <w:spacing w:val="7"/>
        </w:rPr>
        <w:t> </w:t>
      </w:r>
      <w:r>
        <w:rPr/>
        <w:t>antimicrobial</w:t>
      </w:r>
      <w:r>
        <w:rPr>
          <w:spacing w:val="9"/>
        </w:rPr>
        <w:t> </w:t>
      </w:r>
      <w:r>
        <w:rPr/>
        <w:t>resistance</w:t>
      </w:r>
      <w:r>
        <w:rPr>
          <w:spacing w:val="10"/>
        </w:rPr>
        <w:t> </w:t>
      </w:r>
      <w:r>
        <w:rPr/>
        <w:t>common</w:t>
      </w:r>
      <w:r>
        <w:rPr>
          <w:spacing w:val="8"/>
        </w:rPr>
        <w:t> </w:t>
      </w:r>
      <w:r>
        <w:rPr/>
        <w:t>bacterial</w:t>
      </w:r>
      <w:r>
        <w:rPr>
          <w:spacing w:val="9"/>
        </w:rPr>
        <w:t> </w:t>
      </w:r>
      <w:r>
        <w:rPr/>
        <w:t>isolates</w:t>
      </w:r>
      <w:r>
        <w:rPr>
          <w:spacing w:val="8"/>
        </w:rPr>
        <w:t> </w:t>
      </w:r>
      <w:r>
        <w:rPr/>
        <w:t>should</w:t>
      </w:r>
      <w:r>
        <w:rPr>
          <w:spacing w:val="11"/>
        </w:rPr>
        <w:t> </w:t>
      </w:r>
      <w:r>
        <w:rPr/>
        <w:t>be</w:t>
      </w:r>
      <w:r>
        <w:rPr>
          <w:spacing w:val="9"/>
        </w:rPr>
        <w:t> </w:t>
      </w:r>
      <w:r>
        <w:rPr/>
        <w:t>done</w:t>
      </w:r>
      <w:r>
        <w:rPr>
          <w:spacing w:val="9"/>
        </w:rPr>
        <w:t> </w:t>
      </w:r>
      <w:r>
        <w:rPr/>
        <w:t>so</w:t>
      </w:r>
      <w:r>
        <w:rPr>
          <w:spacing w:val="10"/>
        </w:rPr>
        <w:t> </w:t>
      </w:r>
      <w:r>
        <w:rPr/>
        <w:t>to</w:t>
      </w:r>
      <w:r>
        <w:rPr>
          <w:spacing w:val="10"/>
        </w:rPr>
        <w:t> </w:t>
      </w:r>
      <w:r>
        <w:rPr/>
        <w:t>limit</w:t>
      </w:r>
      <w:r>
        <w:rPr>
          <w:spacing w:val="10"/>
        </w:rPr>
        <w:t> </w:t>
      </w:r>
      <w:r>
        <w:rPr/>
        <w:t>the</w:t>
      </w:r>
      <w:r>
        <w:rPr>
          <w:spacing w:val="9"/>
        </w:rPr>
        <w:t> </w:t>
      </w:r>
      <w:r>
        <w:rPr/>
        <w:t>increasing</w:t>
      </w:r>
      <w:r>
        <w:rPr>
          <w:spacing w:val="8"/>
        </w:rPr>
        <w:t> </w:t>
      </w:r>
      <w:r>
        <w:rPr/>
        <w:t>rate</w:t>
      </w:r>
      <w:r>
        <w:rPr>
          <w:spacing w:val="1"/>
        </w:rPr>
        <w:t> </w:t>
      </w:r>
      <w:r>
        <w:rPr/>
        <w:t>of</w:t>
      </w:r>
      <w:r>
        <w:rPr>
          <w:spacing w:val="-2"/>
        </w:rPr>
        <w:t> </w:t>
      </w:r>
      <w:r>
        <w:rPr/>
        <w:t>antimicrobial resistance.</w:t>
      </w:r>
    </w:p>
    <w:p>
      <w:pPr>
        <w:pStyle w:val="BodyText"/>
        <w:spacing w:before="8"/>
      </w:pPr>
    </w:p>
    <w:p>
      <w:pPr>
        <w:pStyle w:val="BodyText"/>
        <w:ind w:left="220"/>
      </w:pPr>
      <w:r>
        <w:rPr>
          <w:b/>
        </w:rPr>
        <w:t>Keywords:</w:t>
      </w:r>
      <w:r>
        <w:rPr>
          <w:b/>
          <w:spacing w:val="-4"/>
        </w:rPr>
        <w:t> </w:t>
      </w:r>
      <w:r>
        <w:rPr/>
        <w:t>Meningitis,</w:t>
      </w:r>
      <w:r>
        <w:rPr>
          <w:spacing w:val="-4"/>
        </w:rPr>
        <w:t> </w:t>
      </w:r>
      <w:r>
        <w:rPr/>
        <w:t>CSF,</w:t>
      </w:r>
      <w:r>
        <w:rPr>
          <w:spacing w:val="-4"/>
        </w:rPr>
        <w:t> </w:t>
      </w:r>
      <w:r>
        <w:rPr/>
        <w:t>Antimicrobial</w:t>
      </w:r>
      <w:r>
        <w:rPr>
          <w:spacing w:val="-5"/>
        </w:rPr>
        <w:t> </w:t>
      </w:r>
      <w:r>
        <w:rPr/>
        <w:t>Susceptibility</w:t>
      </w:r>
      <w:r>
        <w:rPr>
          <w:spacing w:val="-6"/>
        </w:rPr>
        <w:t> </w:t>
      </w:r>
      <w:r>
        <w:rPr/>
        <w:t>Pattern.</w:t>
      </w:r>
    </w:p>
    <w:p>
      <w:pPr>
        <w:pStyle w:val="BodyText"/>
        <w:spacing w:before="5"/>
        <w:rPr>
          <w:sz w:val="21"/>
        </w:rPr>
      </w:pPr>
      <w:r>
        <w:rPr/>
        <w:pict>
          <v:group style="position:absolute;margin-left:72.599998pt;margin-top:14.29924pt;width:450.05pt;height:1.3pt;mso-position-horizontal-relative:page;mso-position-vertical-relative:paragraph;z-index:-15727616;mso-wrap-distance-left:0;mso-wrap-distance-right:0" coordorigin="1452,286" coordsize="9001,26">
            <v:line style="position:absolute" from="1452,304" to="10452,304" stroked="true" strokeweight=".756pt" strokecolor="#000000">
              <v:stroke dashstyle="solid"/>
            </v:line>
            <v:rect style="position:absolute;left:1452;top:285;width:8998;height:22" filled="true" fillcolor="#000000" stroked="false">
              <v:fill type="solid"/>
            </v:rect>
            <w10:wrap type="topAndBottom"/>
          </v:group>
        </w:pict>
      </w:r>
    </w:p>
    <w:p>
      <w:pPr>
        <w:pStyle w:val="BodyText"/>
        <w:spacing w:before="6"/>
        <w:rPr>
          <w:sz w:val="10"/>
        </w:rPr>
      </w:pPr>
    </w:p>
    <w:p>
      <w:pPr>
        <w:spacing w:after="0"/>
        <w:rPr>
          <w:sz w:val="10"/>
        </w:rPr>
        <w:sectPr>
          <w:type w:val="continuous"/>
          <w:pgSz w:w="11910" w:h="16840"/>
          <w:pgMar w:top="1340" w:bottom="280" w:left="1220" w:right="1220"/>
        </w:sectPr>
      </w:pPr>
    </w:p>
    <w:p>
      <w:pPr>
        <w:pStyle w:val="Heading2"/>
        <w:spacing w:before="91"/>
      </w:pPr>
      <w:r>
        <w:rPr/>
        <w:t>Introduction</w:t>
      </w:r>
    </w:p>
    <w:p>
      <w:pPr>
        <w:pStyle w:val="BodyText"/>
        <w:spacing w:line="276" w:lineRule="auto" w:before="37"/>
        <w:ind w:left="220" w:right="38"/>
        <w:jc w:val="both"/>
      </w:pPr>
      <w:r>
        <w:rPr/>
        <w:t>Meningitis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very</w:t>
      </w:r>
      <w:r>
        <w:rPr>
          <w:spacing w:val="1"/>
        </w:rPr>
        <w:t> </w:t>
      </w:r>
      <w:r>
        <w:rPr/>
        <w:t>serious</w:t>
      </w:r>
      <w:r>
        <w:rPr>
          <w:spacing w:val="1"/>
        </w:rPr>
        <w:t> </w:t>
      </w:r>
      <w:r>
        <w:rPr/>
        <w:t>infection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meninges</w:t>
      </w:r>
      <w:r>
        <w:rPr>
          <w:spacing w:val="1"/>
        </w:rPr>
        <w:t> </w:t>
      </w:r>
      <w:r>
        <w:rPr/>
        <w:t>that surround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brain 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spinal</w:t>
      </w:r>
      <w:r>
        <w:rPr>
          <w:spacing w:val="1"/>
        </w:rPr>
        <w:t> </w:t>
      </w:r>
      <w:r>
        <w:rPr/>
        <w:t>cord.</w:t>
      </w:r>
      <w:r>
        <w:rPr>
          <w:spacing w:val="46"/>
        </w:rPr>
        <w:t> </w:t>
      </w:r>
      <w:r>
        <w:rPr/>
        <w:t>It</w:t>
      </w:r>
      <w:r>
        <w:rPr>
          <w:spacing w:val="48"/>
        </w:rPr>
        <w:t> </w:t>
      </w:r>
      <w:r>
        <w:rPr/>
        <w:t>is</w:t>
      </w:r>
      <w:r>
        <w:rPr>
          <w:spacing w:val="48"/>
        </w:rPr>
        <w:t> </w:t>
      </w:r>
      <w:r>
        <w:rPr/>
        <w:t>usually</w:t>
      </w:r>
      <w:r>
        <w:rPr>
          <w:spacing w:val="48"/>
        </w:rPr>
        <w:t> </w:t>
      </w:r>
      <w:r>
        <w:rPr/>
        <w:t>caused  by</w:t>
      </w:r>
      <w:r>
        <w:rPr>
          <w:spacing w:val="47"/>
        </w:rPr>
        <w:t> </w:t>
      </w:r>
      <w:r>
        <w:rPr/>
        <w:t>viral,</w:t>
      </w:r>
      <w:r>
        <w:rPr>
          <w:spacing w:val="-1"/>
        </w:rPr>
        <w:t> </w:t>
      </w:r>
      <w:r>
        <w:rPr/>
        <w:t>bacterial</w:t>
      </w:r>
      <w:r>
        <w:rPr>
          <w:spacing w:val="-1"/>
        </w:rPr>
        <w:t> </w:t>
      </w:r>
      <w:r>
        <w:rPr/>
        <w:t>or</w:t>
      </w:r>
    </w:p>
    <w:p>
      <w:pPr>
        <w:pStyle w:val="BodyText"/>
        <w:spacing w:before="11"/>
        <w:rPr>
          <w:sz w:val="32"/>
        </w:rPr>
      </w:pPr>
      <w:r>
        <w:rPr/>
        <w:br w:type="column"/>
      </w:r>
      <w:r>
        <w:rPr>
          <w:sz w:val="32"/>
        </w:rPr>
      </w:r>
    </w:p>
    <w:p>
      <w:pPr>
        <w:pStyle w:val="BodyText"/>
        <w:spacing w:line="276" w:lineRule="auto"/>
        <w:ind w:left="220" w:right="225"/>
        <w:jc w:val="both"/>
      </w:pPr>
      <w:r>
        <w:rPr/>
        <w:t>fungal</w:t>
      </w:r>
      <w:r>
        <w:rPr>
          <w:spacing w:val="1"/>
        </w:rPr>
        <w:t> </w:t>
      </w:r>
      <w:r>
        <w:rPr/>
        <w:t>pathogens.</w:t>
      </w:r>
      <w:r>
        <w:rPr>
          <w:spacing w:val="1"/>
        </w:rPr>
        <w:t> </w:t>
      </w:r>
      <w:r>
        <w:rPr/>
        <w:t>Despite</w:t>
      </w:r>
      <w:r>
        <w:rPr>
          <w:spacing w:val="1"/>
        </w:rPr>
        <w:t> </w:t>
      </w:r>
      <w:r>
        <w:rPr/>
        <w:t>advances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vaccine</w:t>
      </w:r>
      <w:r>
        <w:rPr>
          <w:spacing w:val="1"/>
        </w:rPr>
        <w:t> </w:t>
      </w:r>
      <w:r>
        <w:rPr/>
        <w:t>development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chemoprophylaxis,</w:t>
      </w:r>
      <w:r>
        <w:rPr>
          <w:spacing w:val="1"/>
        </w:rPr>
        <w:t> </w:t>
      </w:r>
      <w:r>
        <w:rPr/>
        <w:t>bacterial</w:t>
      </w:r>
      <w:r>
        <w:rPr>
          <w:spacing w:val="-47"/>
        </w:rPr>
        <w:t> </w:t>
      </w:r>
      <w:r>
        <w:rPr/>
        <w:t>meningitis</w:t>
      </w:r>
      <w:r>
        <w:rPr>
          <w:spacing w:val="25"/>
        </w:rPr>
        <w:t> </w:t>
      </w:r>
      <w:r>
        <w:rPr/>
        <w:t>remains</w:t>
      </w:r>
      <w:r>
        <w:rPr>
          <w:spacing w:val="25"/>
        </w:rPr>
        <w:t> </w:t>
      </w:r>
      <w:r>
        <w:rPr/>
        <w:t>a</w:t>
      </w:r>
      <w:r>
        <w:rPr>
          <w:spacing w:val="27"/>
        </w:rPr>
        <w:t> </w:t>
      </w:r>
      <w:r>
        <w:rPr/>
        <w:t>common</w:t>
      </w:r>
      <w:r>
        <w:rPr>
          <w:spacing w:val="25"/>
        </w:rPr>
        <w:t> </w:t>
      </w:r>
      <w:r>
        <w:rPr/>
        <w:t>disease</w:t>
      </w:r>
      <w:r>
        <w:rPr>
          <w:spacing w:val="28"/>
        </w:rPr>
        <w:t> </w:t>
      </w:r>
      <w:r>
        <w:rPr/>
        <w:t>worldwide.</w:t>
      </w:r>
    </w:p>
    <w:p>
      <w:pPr>
        <w:spacing w:after="0" w:line="276" w:lineRule="auto"/>
        <w:jc w:val="both"/>
        <w:sectPr>
          <w:type w:val="continuous"/>
          <w:pgSz w:w="11910" w:h="16840"/>
          <w:pgMar w:top="1340" w:bottom="280" w:left="1220" w:right="1220"/>
          <w:cols w:num="2" w:equalWidth="0">
            <w:col w:w="4408" w:space="464"/>
            <w:col w:w="4598"/>
          </w:cols>
        </w:sectPr>
      </w:pPr>
    </w:p>
    <w:p>
      <w:pPr>
        <w:pStyle w:val="BodyText"/>
        <w:spacing w:before="3"/>
        <w:rPr>
          <w:sz w:val="24"/>
        </w:rPr>
      </w:pPr>
    </w:p>
    <w:p>
      <w:pPr>
        <w:pStyle w:val="BodyText"/>
        <w:spacing w:line="22" w:lineRule="exact"/>
        <w:ind w:left="213"/>
        <w:rPr>
          <w:sz w:val="2"/>
        </w:rPr>
      </w:pPr>
      <w:r>
        <w:rPr>
          <w:sz w:val="2"/>
        </w:rPr>
        <w:pict>
          <v:group style="width:165.1pt;height:1.1pt;mso-position-horizontal-relative:char;mso-position-vertical-relative:line" coordorigin="0,0" coordsize="3302,22">
            <v:line style="position:absolute" from="0,15" to="3301,15" stroked="true" strokeweight=".627480pt" strokecolor="#000000">
              <v:stroke dashstyle="solid"/>
            </v:line>
            <v:rect style="position:absolute;left:0;top:0;width:3298;height:17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before="2"/>
        <w:rPr>
          <w:sz w:val="13"/>
        </w:rPr>
      </w:pPr>
    </w:p>
    <w:p>
      <w:pPr>
        <w:pStyle w:val="Heading3"/>
        <w:spacing w:before="91"/>
        <w:ind w:left="128"/>
        <w:jc w:val="left"/>
      </w:pPr>
      <w:r>
        <w:rPr/>
        <w:t>Author</w:t>
      </w:r>
      <w:r>
        <w:rPr>
          <w:spacing w:val="-5"/>
        </w:rPr>
        <w:t> </w:t>
      </w:r>
      <w:r>
        <w:rPr/>
        <w:t>for</w:t>
      </w:r>
      <w:r>
        <w:rPr>
          <w:spacing w:val="-4"/>
        </w:rPr>
        <w:t> </w:t>
      </w:r>
      <w:r>
        <w:rPr/>
        <w:t>Correspondence:</w:t>
      </w:r>
    </w:p>
    <w:p>
      <w:pPr>
        <w:pStyle w:val="BodyText"/>
        <w:spacing w:before="27"/>
        <w:ind w:left="220"/>
      </w:pPr>
      <w:r>
        <w:rPr/>
        <w:t>Zelalem</w:t>
      </w:r>
      <w:r>
        <w:rPr>
          <w:spacing w:val="-3"/>
        </w:rPr>
        <w:t> </w:t>
      </w:r>
      <w:r>
        <w:rPr/>
        <w:t>Addis,</w:t>
      </w:r>
    </w:p>
    <w:p>
      <w:pPr>
        <w:pStyle w:val="BodyText"/>
        <w:ind w:left="220" w:right="5429"/>
      </w:pPr>
      <w:r>
        <w:rPr/>
        <w:t>School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Biomedical</w:t>
      </w:r>
      <w:r>
        <w:rPr>
          <w:spacing w:val="-4"/>
        </w:rPr>
        <w:t> </w:t>
      </w:r>
      <w:r>
        <w:rPr/>
        <w:t>and</w:t>
      </w:r>
      <w:r>
        <w:rPr>
          <w:spacing w:val="-1"/>
        </w:rPr>
        <w:t> </w:t>
      </w:r>
      <w:r>
        <w:rPr/>
        <w:t>Laboratory</w:t>
      </w:r>
      <w:r>
        <w:rPr>
          <w:spacing w:val="-7"/>
        </w:rPr>
        <w:t> </w:t>
      </w:r>
      <w:r>
        <w:rPr/>
        <w:t>Sciences,</w:t>
      </w:r>
      <w:r>
        <w:rPr>
          <w:spacing w:val="-47"/>
        </w:rPr>
        <w:t> </w:t>
      </w:r>
      <w:r>
        <w:rPr/>
        <w:t>University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Gondar, Ethiopia.</w:t>
      </w:r>
    </w:p>
    <w:p>
      <w:pPr>
        <w:pStyle w:val="BodyText"/>
        <w:spacing w:line="229" w:lineRule="exact" w:before="1"/>
        <w:ind w:left="220"/>
      </w:pPr>
      <w:r>
        <w:rPr/>
        <w:t>Post Box</w:t>
      </w:r>
      <w:r>
        <w:rPr>
          <w:spacing w:val="-1"/>
        </w:rPr>
        <w:t> </w:t>
      </w:r>
      <w:r>
        <w:rPr/>
        <w:t>No.</w:t>
      </w:r>
      <w:r>
        <w:rPr>
          <w:spacing w:val="-2"/>
        </w:rPr>
        <w:t> </w:t>
      </w:r>
      <w:r>
        <w:rPr/>
        <w:t>196.</w:t>
      </w:r>
    </w:p>
    <w:p>
      <w:pPr>
        <w:pStyle w:val="BodyText"/>
        <w:spacing w:line="229" w:lineRule="exact"/>
        <w:ind w:left="220"/>
      </w:pPr>
      <w:r>
        <w:rPr/>
        <w:t>E-mail:</w:t>
      </w:r>
      <w:r>
        <w:rPr>
          <w:spacing w:val="-7"/>
        </w:rPr>
        <w:t> </w:t>
      </w:r>
      <w:hyperlink r:id="rId9">
        <w:r>
          <w:rPr/>
          <w:t>addiszelalem151@gmail.com</w:t>
        </w:r>
      </w:hyperlink>
    </w:p>
    <w:p>
      <w:pPr>
        <w:spacing w:after="0" w:line="229" w:lineRule="exact"/>
        <w:sectPr>
          <w:type w:val="continuous"/>
          <w:pgSz w:w="11910" w:h="16840"/>
          <w:pgMar w:top="1340" w:bottom="280" w:left="1220" w:right="1220"/>
        </w:sectPr>
      </w:pPr>
    </w:p>
    <w:p>
      <w:pPr>
        <w:spacing w:line="276" w:lineRule="auto" w:before="80"/>
        <w:ind w:left="220" w:right="38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disease</w:t>
      </w:r>
      <w:r>
        <w:rPr>
          <w:spacing w:val="1"/>
          <w:sz w:val="20"/>
        </w:rPr>
        <w:t> </w:t>
      </w:r>
      <w:r>
        <w:rPr>
          <w:sz w:val="20"/>
        </w:rPr>
        <w:t>is</w:t>
      </w:r>
      <w:r>
        <w:rPr>
          <w:spacing w:val="1"/>
          <w:sz w:val="20"/>
        </w:rPr>
        <w:t> </w:t>
      </w:r>
      <w:r>
        <w:rPr>
          <w:sz w:val="20"/>
        </w:rPr>
        <w:t>more</w:t>
      </w:r>
      <w:r>
        <w:rPr>
          <w:spacing w:val="1"/>
          <w:sz w:val="20"/>
        </w:rPr>
        <w:t> </w:t>
      </w:r>
      <w:r>
        <w:rPr>
          <w:sz w:val="20"/>
        </w:rPr>
        <w:t>common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developing</w:t>
      </w:r>
      <w:r>
        <w:rPr>
          <w:spacing w:val="1"/>
          <w:sz w:val="20"/>
        </w:rPr>
        <w:t> </w:t>
      </w:r>
      <w:r>
        <w:rPr>
          <w:sz w:val="20"/>
        </w:rPr>
        <w:t>countries</w:t>
      </w:r>
      <w:r>
        <w:rPr>
          <w:sz w:val="20"/>
          <w:vertAlign w:val="superscript"/>
        </w:rPr>
        <w:t>1</w:t>
      </w:r>
      <w:r>
        <w:rPr>
          <w:sz w:val="20"/>
          <w:vertAlign w:val="baseline"/>
        </w:rPr>
        <w:t>.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Bacterial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pathogens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isolated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from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the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central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nervous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system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(CNS)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in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patients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with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symptoms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and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diagnostic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signs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of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bacterial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meningitis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are</w:t>
      </w:r>
      <w:r>
        <w:rPr>
          <w:spacing w:val="1"/>
          <w:sz w:val="20"/>
          <w:vertAlign w:val="baseline"/>
        </w:rPr>
        <w:t> </w:t>
      </w:r>
      <w:r>
        <w:rPr>
          <w:i/>
          <w:sz w:val="20"/>
          <w:vertAlign w:val="baseline"/>
        </w:rPr>
        <w:t>Streptococcus</w:t>
      </w:r>
      <w:r>
        <w:rPr>
          <w:i/>
          <w:spacing w:val="1"/>
          <w:sz w:val="20"/>
          <w:vertAlign w:val="baseline"/>
        </w:rPr>
        <w:t> </w:t>
      </w:r>
      <w:r>
        <w:rPr>
          <w:i/>
          <w:sz w:val="20"/>
          <w:vertAlign w:val="baseline"/>
        </w:rPr>
        <w:t>pneumoniae</w:t>
      </w:r>
      <w:r>
        <w:rPr>
          <w:sz w:val="20"/>
          <w:vertAlign w:val="baseline"/>
        </w:rPr>
        <w:t>,</w:t>
      </w:r>
      <w:r>
        <w:rPr>
          <w:spacing w:val="-47"/>
          <w:sz w:val="20"/>
          <w:vertAlign w:val="baseline"/>
        </w:rPr>
        <w:t> </w:t>
      </w:r>
      <w:r>
        <w:rPr>
          <w:i/>
          <w:sz w:val="20"/>
          <w:vertAlign w:val="baseline"/>
        </w:rPr>
        <w:t>Streptococcus agalactiae </w:t>
      </w:r>
      <w:r>
        <w:rPr>
          <w:sz w:val="20"/>
          <w:vertAlign w:val="baseline"/>
        </w:rPr>
        <w:t>and other gram-positive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cocci,</w:t>
      </w:r>
      <w:r>
        <w:rPr>
          <w:spacing w:val="1"/>
          <w:sz w:val="20"/>
          <w:vertAlign w:val="baseline"/>
        </w:rPr>
        <w:t> </w:t>
      </w:r>
      <w:r>
        <w:rPr>
          <w:i/>
          <w:sz w:val="20"/>
          <w:vertAlign w:val="baseline"/>
        </w:rPr>
        <w:t>Haemophilus</w:t>
      </w:r>
      <w:r>
        <w:rPr>
          <w:i/>
          <w:spacing w:val="1"/>
          <w:sz w:val="20"/>
          <w:vertAlign w:val="baseline"/>
        </w:rPr>
        <w:t> </w:t>
      </w:r>
      <w:r>
        <w:rPr>
          <w:i/>
          <w:sz w:val="20"/>
          <w:vertAlign w:val="baseline"/>
        </w:rPr>
        <w:t>influenzae</w:t>
      </w:r>
      <w:r>
        <w:rPr>
          <w:sz w:val="20"/>
          <w:vertAlign w:val="baseline"/>
        </w:rPr>
        <w:t>,</w:t>
      </w:r>
      <w:r>
        <w:rPr>
          <w:spacing w:val="1"/>
          <w:sz w:val="20"/>
          <w:vertAlign w:val="baseline"/>
        </w:rPr>
        <w:t> </w:t>
      </w:r>
      <w:r>
        <w:rPr>
          <w:i/>
          <w:sz w:val="20"/>
          <w:vertAlign w:val="baseline"/>
        </w:rPr>
        <w:t>Neisseria</w:t>
      </w:r>
      <w:r>
        <w:rPr>
          <w:i/>
          <w:spacing w:val="1"/>
          <w:sz w:val="20"/>
          <w:vertAlign w:val="baseline"/>
        </w:rPr>
        <w:t> </w:t>
      </w:r>
      <w:r>
        <w:rPr>
          <w:i/>
          <w:sz w:val="20"/>
          <w:vertAlign w:val="baseline"/>
        </w:rPr>
        <w:t>meningitidis</w:t>
      </w:r>
      <w:r>
        <w:rPr>
          <w:sz w:val="20"/>
          <w:vertAlign w:val="baseline"/>
        </w:rPr>
        <w:t>, and </w:t>
      </w:r>
      <w:r>
        <w:rPr>
          <w:i/>
          <w:sz w:val="20"/>
          <w:vertAlign w:val="baseline"/>
        </w:rPr>
        <w:t>Escherichia</w:t>
      </w:r>
      <w:r>
        <w:rPr>
          <w:i/>
          <w:spacing w:val="1"/>
          <w:sz w:val="20"/>
          <w:vertAlign w:val="baseline"/>
        </w:rPr>
        <w:t> </w:t>
      </w:r>
      <w:r>
        <w:rPr>
          <w:i/>
          <w:sz w:val="20"/>
          <w:vertAlign w:val="baseline"/>
        </w:rPr>
        <w:t>coli</w:t>
      </w:r>
      <w:r>
        <w:rPr>
          <w:sz w:val="20"/>
          <w:vertAlign w:val="superscript"/>
        </w:rPr>
        <w:t>2</w:t>
      </w:r>
      <w:r>
        <w:rPr>
          <w:sz w:val="20"/>
          <w:vertAlign w:val="baseline"/>
        </w:rPr>
        <w:t>.</w:t>
      </w:r>
    </w:p>
    <w:p>
      <w:pPr>
        <w:pStyle w:val="BodyText"/>
        <w:spacing w:before="1"/>
        <w:rPr>
          <w:sz w:val="23"/>
        </w:rPr>
      </w:pPr>
    </w:p>
    <w:p>
      <w:pPr>
        <w:pStyle w:val="BodyText"/>
        <w:spacing w:line="276" w:lineRule="auto"/>
        <w:ind w:left="220" w:right="39"/>
        <w:jc w:val="both"/>
      </w:pPr>
      <w:r>
        <w:rPr>
          <w:color w:val="231F1F"/>
        </w:rPr>
        <w:t>Meningitis receives a high level of medical, public</w:t>
      </w:r>
      <w:r>
        <w:rPr>
          <w:color w:val="231F1F"/>
          <w:spacing w:val="1"/>
        </w:rPr>
        <w:t> </w:t>
      </w:r>
      <w:r>
        <w:rPr>
          <w:color w:val="231F1F"/>
        </w:rPr>
        <w:t>health</w:t>
      </w:r>
      <w:r>
        <w:rPr>
          <w:color w:val="231F1F"/>
          <w:spacing w:val="1"/>
        </w:rPr>
        <w:t> </w:t>
      </w:r>
      <w:r>
        <w:rPr>
          <w:color w:val="231F1F"/>
        </w:rPr>
        <w:t>and</w:t>
      </w:r>
      <w:r>
        <w:rPr>
          <w:color w:val="231F1F"/>
          <w:spacing w:val="1"/>
        </w:rPr>
        <w:t> </w:t>
      </w:r>
      <w:r>
        <w:rPr>
          <w:color w:val="231F1F"/>
        </w:rPr>
        <w:t>media</w:t>
      </w:r>
      <w:r>
        <w:rPr>
          <w:color w:val="231F1F"/>
          <w:spacing w:val="1"/>
        </w:rPr>
        <w:t> </w:t>
      </w:r>
      <w:r>
        <w:rPr>
          <w:color w:val="231F1F"/>
        </w:rPr>
        <w:t>attention</w:t>
      </w:r>
      <w:r>
        <w:rPr>
          <w:color w:val="231F1F"/>
          <w:spacing w:val="1"/>
        </w:rPr>
        <w:t> </w:t>
      </w:r>
      <w:r>
        <w:rPr>
          <w:color w:val="231F1F"/>
        </w:rPr>
        <w:t>because</w:t>
      </w:r>
      <w:r>
        <w:rPr>
          <w:color w:val="231F1F"/>
          <w:spacing w:val="1"/>
        </w:rPr>
        <w:t> </w:t>
      </w:r>
      <w:r>
        <w:rPr>
          <w:color w:val="231F1F"/>
        </w:rPr>
        <w:t>of</w:t>
      </w:r>
      <w:r>
        <w:rPr>
          <w:color w:val="231F1F"/>
          <w:spacing w:val="1"/>
        </w:rPr>
        <w:t> </w:t>
      </w:r>
      <w:r>
        <w:rPr>
          <w:color w:val="231F1F"/>
        </w:rPr>
        <w:t>its</w:t>
      </w:r>
      <w:r>
        <w:rPr>
          <w:color w:val="231F1F"/>
          <w:spacing w:val="50"/>
        </w:rPr>
        <w:t> </w:t>
      </w:r>
      <w:r>
        <w:rPr>
          <w:color w:val="231F1F"/>
        </w:rPr>
        <w:t>rapid</w:t>
      </w:r>
      <w:r>
        <w:rPr>
          <w:color w:val="231F1F"/>
          <w:spacing w:val="1"/>
        </w:rPr>
        <w:t> </w:t>
      </w:r>
      <w:r>
        <w:rPr>
          <w:color w:val="231F1F"/>
        </w:rPr>
        <w:t>onset and high level of morbidity and mortality.</w:t>
      </w:r>
      <w:r>
        <w:rPr>
          <w:color w:val="231F1F"/>
          <w:spacing w:val="1"/>
        </w:rPr>
        <w:t> </w:t>
      </w:r>
      <w:r>
        <w:rPr>
          <w:color w:val="231F1F"/>
        </w:rPr>
        <w:t>Apart from epidemic, at least 1.2 million cases of</w:t>
      </w:r>
      <w:r>
        <w:rPr>
          <w:color w:val="231F1F"/>
          <w:spacing w:val="1"/>
        </w:rPr>
        <w:t> </w:t>
      </w:r>
      <w:r>
        <w:rPr>
          <w:color w:val="231F1F"/>
        </w:rPr>
        <w:t>meningitis are estimated to occur every year with</w:t>
      </w:r>
      <w:r>
        <w:rPr>
          <w:color w:val="231F1F"/>
          <w:spacing w:val="1"/>
        </w:rPr>
        <w:t> </w:t>
      </w:r>
      <w:r>
        <w:rPr>
          <w:color w:val="231F1F"/>
        </w:rPr>
        <w:t>135,000</w:t>
      </w:r>
      <w:r>
        <w:rPr>
          <w:color w:val="231F1F"/>
          <w:spacing w:val="-2"/>
        </w:rPr>
        <w:t> </w:t>
      </w:r>
      <w:r>
        <w:rPr>
          <w:color w:val="231F1F"/>
        </w:rPr>
        <w:t>deaths</w:t>
      </w:r>
      <w:r>
        <w:rPr>
          <w:color w:val="231F1F"/>
          <w:vertAlign w:val="superscript"/>
        </w:rPr>
        <w:t>3</w:t>
      </w:r>
      <w:r>
        <w:rPr>
          <w:color w:val="231F1F"/>
          <w:vertAlign w:val="baseline"/>
        </w:rPr>
        <w:t>.</w:t>
      </w:r>
    </w:p>
    <w:p>
      <w:pPr>
        <w:pStyle w:val="BodyText"/>
        <w:spacing w:before="10"/>
        <w:rPr>
          <w:sz w:val="22"/>
        </w:rPr>
      </w:pPr>
    </w:p>
    <w:p>
      <w:pPr>
        <w:pStyle w:val="BodyText"/>
        <w:spacing w:line="276" w:lineRule="auto" w:before="1"/>
        <w:ind w:left="220" w:right="38"/>
        <w:jc w:val="both"/>
      </w:pPr>
      <w:r>
        <w:rPr/>
        <w:t>Despite improvements in antimicrobial therapy and</w:t>
      </w:r>
      <w:r>
        <w:rPr>
          <w:spacing w:val="-47"/>
        </w:rPr>
        <w:t> </w:t>
      </w:r>
      <w:r>
        <w:rPr/>
        <w:t>intensive</w:t>
      </w:r>
      <w:r>
        <w:rPr>
          <w:spacing w:val="1"/>
        </w:rPr>
        <w:t> </w:t>
      </w:r>
      <w:r>
        <w:rPr/>
        <w:t>care</w:t>
      </w:r>
      <w:r>
        <w:rPr>
          <w:spacing w:val="1"/>
        </w:rPr>
        <w:t> </w:t>
      </w:r>
      <w:r>
        <w:rPr/>
        <w:t>support,</w:t>
      </w:r>
      <w:r>
        <w:rPr>
          <w:spacing w:val="1"/>
        </w:rPr>
        <w:t> </w:t>
      </w:r>
      <w:r>
        <w:rPr/>
        <w:t>overall</w:t>
      </w:r>
      <w:r>
        <w:rPr>
          <w:spacing w:val="1"/>
        </w:rPr>
        <w:t> </w:t>
      </w:r>
      <w:r>
        <w:rPr/>
        <w:t>mortality</w:t>
      </w:r>
      <w:r>
        <w:rPr>
          <w:spacing w:val="1"/>
        </w:rPr>
        <w:t> </w:t>
      </w:r>
      <w:r>
        <w:rPr/>
        <w:t>rates</w:t>
      </w:r>
      <w:r>
        <w:rPr>
          <w:spacing w:val="-47"/>
        </w:rPr>
        <w:t> </w:t>
      </w:r>
      <w:r>
        <w:rPr/>
        <w:t>related to bacterial meningitis of around 20% to</w:t>
      </w:r>
      <w:r>
        <w:rPr>
          <w:spacing w:val="1"/>
        </w:rPr>
        <w:t> </w:t>
      </w:r>
      <w:r>
        <w:rPr/>
        <w:t>25%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been</w:t>
      </w:r>
      <w:r>
        <w:rPr>
          <w:spacing w:val="1"/>
        </w:rPr>
        <w:t> </w:t>
      </w:r>
      <w:r>
        <w:rPr/>
        <w:t>reported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major</w:t>
      </w:r>
      <w:r>
        <w:rPr>
          <w:spacing w:val="1"/>
        </w:rPr>
        <w:t> </w:t>
      </w:r>
      <w:r>
        <w:rPr/>
        <w:t>centers</w:t>
      </w:r>
      <w:r>
        <w:rPr>
          <w:vertAlign w:val="superscript"/>
        </w:rPr>
        <w:t>4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-47"/>
          <w:vertAlign w:val="baseline"/>
        </w:rPr>
        <w:t> </w:t>
      </w:r>
      <w:r>
        <w:rPr>
          <w:vertAlign w:val="baseline"/>
        </w:rPr>
        <w:t>estimated incidence of bacterial meningitis is 0.6 to</w:t>
      </w:r>
      <w:r>
        <w:rPr>
          <w:spacing w:val="-47"/>
          <w:vertAlign w:val="baseline"/>
        </w:rPr>
        <w:t> </w:t>
      </w:r>
      <w:r>
        <w:rPr>
          <w:vertAlign w:val="baseline"/>
        </w:rPr>
        <w:t>4 per 100 000 per year in developed countries, and</w:t>
      </w:r>
      <w:r>
        <w:rPr>
          <w:spacing w:val="1"/>
          <w:vertAlign w:val="baseline"/>
        </w:rPr>
        <w:t> </w:t>
      </w:r>
      <w:r>
        <w:rPr>
          <w:vertAlign w:val="baseline"/>
        </w:rPr>
        <w:t>may be up to ten times higher in other parts of the</w:t>
      </w:r>
      <w:r>
        <w:rPr>
          <w:spacing w:val="1"/>
          <w:vertAlign w:val="baseline"/>
        </w:rPr>
        <w:t> </w:t>
      </w:r>
      <w:r>
        <w:rPr>
          <w:vertAlign w:val="baseline"/>
        </w:rPr>
        <w:t>world</w:t>
      </w:r>
      <w:r>
        <w:rPr>
          <w:vertAlign w:val="superscript"/>
        </w:rPr>
        <w:t>5</w:t>
      </w:r>
      <w:r>
        <w:rPr>
          <w:vertAlign w:val="baseline"/>
        </w:rPr>
        <w:t>. It accounts for an estimated 171 000 deaths</w:t>
      </w:r>
      <w:r>
        <w:rPr>
          <w:spacing w:val="1"/>
          <w:vertAlign w:val="baseline"/>
        </w:rPr>
        <w:t> </w:t>
      </w:r>
      <w:r>
        <w:rPr>
          <w:spacing w:val="-1"/>
          <w:vertAlign w:val="baseline"/>
        </w:rPr>
        <w:t>worldwide</w:t>
      </w:r>
      <w:r>
        <w:rPr>
          <w:vertAlign w:val="baseline"/>
        </w:rPr>
        <w:t> </w:t>
      </w:r>
      <w:r>
        <w:rPr>
          <w:spacing w:val="-1"/>
          <w:vertAlign w:val="baseline"/>
        </w:rPr>
        <w:t>per</w:t>
      </w:r>
      <w:r>
        <w:rPr>
          <w:spacing w:val="1"/>
          <w:vertAlign w:val="baseline"/>
        </w:rPr>
        <w:t> </w:t>
      </w:r>
      <w:r>
        <w:rPr>
          <w:vertAlign w:val="baseline"/>
        </w:rPr>
        <w:t>year</w:t>
      </w:r>
      <w:r>
        <w:rPr>
          <w:vertAlign w:val="superscript"/>
        </w:rPr>
        <w:t>6,</w:t>
      </w:r>
      <w:r>
        <w:rPr>
          <w:spacing w:val="-16"/>
          <w:vertAlign w:val="baseline"/>
        </w:rPr>
        <w:t> </w:t>
      </w:r>
      <w:r>
        <w:rPr>
          <w:vertAlign w:val="superscript"/>
        </w:rPr>
        <w:t>7</w:t>
      </w:r>
      <w:r>
        <w:rPr>
          <w:vertAlign w:val="baseline"/>
        </w:rPr>
        <w:t>.</w:t>
      </w:r>
    </w:p>
    <w:p>
      <w:pPr>
        <w:pStyle w:val="BodyText"/>
        <w:spacing w:before="11"/>
        <w:rPr>
          <w:sz w:val="22"/>
        </w:rPr>
      </w:pPr>
    </w:p>
    <w:p>
      <w:pPr>
        <w:pStyle w:val="BodyText"/>
        <w:spacing w:line="276" w:lineRule="auto"/>
        <w:ind w:left="220" w:right="39"/>
        <w:jc w:val="both"/>
      </w:pPr>
      <w:r>
        <w:rPr/>
        <w:t>The</w:t>
      </w:r>
      <w:r>
        <w:rPr>
          <w:spacing w:val="1"/>
        </w:rPr>
        <w:t> </w:t>
      </w:r>
      <w:r>
        <w:rPr/>
        <w:t>need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treat</w:t>
      </w:r>
      <w:r>
        <w:rPr>
          <w:spacing w:val="1"/>
        </w:rPr>
        <w:t> </w:t>
      </w:r>
      <w:r>
        <w:rPr/>
        <w:t>infections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51"/>
        </w:rPr>
        <w:t> </w:t>
      </w:r>
      <w:r>
        <w:rPr/>
        <w:t>CNS</w:t>
      </w:r>
      <w:r>
        <w:rPr>
          <w:spacing w:val="1"/>
        </w:rPr>
        <w:t> </w:t>
      </w:r>
      <w:r>
        <w:rPr/>
        <w:t>immediately</w:t>
      </w:r>
      <w:r>
        <w:rPr>
          <w:spacing w:val="1"/>
        </w:rPr>
        <w:t> </w:t>
      </w:r>
      <w:r>
        <w:rPr/>
        <w:t>requires</w:t>
      </w:r>
      <w:r>
        <w:rPr>
          <w:spacing w:val="1"/>
        </w:rPr>
        <w:t> </w:t>
      </w:r>
      <w:r>
        <w:rPr/>
        <w:t>empiric</w:t>
      </w:r>
      <w:r>
        <w:rPr>
          <w:spacing w:val="1"/>
        </w:rPr>
        <w:t> </w:t>
      </w:r>
      <w:r>
        <w:rPr/>
        <w:t>choice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an</w:t>
      </w:r>
      <w:r>
        <w:rPr>
          <w:spacing w:val="-47"/>
        </w:rPr>
        <w:t> </w:t>
      </w:r>
      <w:r>
        <w:rPr/>
        <w:t>antibacterial agent. For many years β-lactams have</w:t>
      </w:r>
      <w:r>
        <w:rPr>
          <w:spacing w:val="1"/>
        </w:rPr>
        <w:t> </w:t>
      </w:r>
      <w:r>
        <w:rPr/>
        <w:t>comprised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cornerstone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therapy</w:t>
      </w:r>
      <w:r>
        <w:rPr>
          <w:spacing w:val="51"/>
        </w:rPr>
        <w:t> </w:t>
      </w:r>
      <w:r>
        <w:rPr/>
        <w:t>and</w:t>
      </w:r>
      <w:r>
        <w:rPr>
          <w:spacing w:val="1"/>
        </w:rPr>
        <w:t> </w:t>
      </w:r>
      <w:r>
        <w:rPr/>
        <w:t>parenteral third-generation cephalosporins such as</w:t>
      </w:r>
      <w:r>
        <w:rPr>
          <w:spacing w:val="1"/>
        </w:rPr>
        <w:t> </w:t>
      </w:r>
      <w:r>
        <w:rPr/>
        <w:t>ceftriaxone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cefotaxime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most</w:t>
      </w:r>
      <w:r>
        <w:rPr>
          <w:spacing w:val="1"/>
        </w:rPr>
        <w:t> </w:t>
      </w:r>
      <w:r>
        <w:rPr/>
        <w:t>commonly</w:t>
      </w:r>
      <w:r>
        <w:rPr>
          <w:spacing w:val="1"/>
        </w:rPr>
        <w:t> </w:t>
      </w:r>
      <w:r>
        <w:rPr/>
        <w:t>used</w:t>
      </w:r>
      <w:r>
        <w:rPr>
          <w:vertAlign w:val="superscript"/>
        </w:rPr>
        <w:t>8</w:t>
      </w:r>
      <w:r>
        <w:rPr>
          <w:vertAlign w:val="baseline"/>
        </w:rPr>
        <w:t>. Where infection is likely to have occurred</w:t>
      </w:r>
      <w:r>
        <w:rPr>
          <w:spacing w:val="1"/>
          <w:vertAlign w:val="baseline"/>
        </w:rPr>
        <w:t> </w:t>
      </w:r>
      <w:r>
        <w:rPr>
          <w:vertAlign w:val="baseline"/>
        </w:rPr>
        <w:t>from</w:t>
      </w:r>
      <w:r>
        <w:rPr>
          <w:spacing w:val="1"/>
          <w:vertAlign w:val="baseline"/>
        </w:rPr>
        <w:t> </w:t>
      </w:r>
      <w:r>
        <w:rPr>
          <w:vertAlign w:val="baseline"/>
        </w:rPr>
        <w:t>another</w:t>
      </w:r>
      <w:r>
        <w:rPr>
          <w:spacing w:val="1"/>
          <w:vertAlign w:val="baseline"/>
        </w:rPr>
        <w:t> </w:t>
      </w:r>
      <w:r>
        <w:rPr>
          <w:vertAlign w:val="baseline"/>
        </w:rPr>
        <w:t>body</w:t>
      </w:r>
      <w:r>
        <w:rPr>
          <w:spacing w:val="1"/>
          <w:vertAlign w:val="baseline"/>
        </w:rPr>
        <w:t> </w:t>
      </w:r>
      <w:r>
        <w:rPr>
          <w:vertAlign w:val="baseline"/>
        </w:rPr>
        <w:t>site,</w:t>
      </w:r>
      <w:r>
        <w:rPr>
          <w:spacing w:val="1"/>
          <w:vertAlign w:val="baseline"/>
        </w:rPr>
        <w:t> </w:t>
      </w:r>
      <w:r>
        <w:rPr>
          <w:vertAlign w:val="baseline"/>
        </w:rPr>
        <w:t>available</w:t>
      </w:r>
      <w:r>
        <w:rPr>
          <w:spacing w:val="1"/>
          <w:vertAlign w:val="baseline"/>
        </w:rPr>
        <w:t> </w:t>
      </w:r>
      <w:r>
        <w:rPr>
          <w:vertAlign w:val="baseline"/>
        </w:rPr>
        <w:t>laboratory</w:t>
      </w:r>
      <w:r>
        <w:rPr>
          <w:spacing w:val="1"/>
          <w:vertAlign w:val="baseline"/>
        </w:rPr>
        <w:t> </w:t>
      </w:r>
      <w:r>
        <w:rPr>
          <w:vertAlign w:val="baseline"/>
        </w:rPr>
        <w:t>information</w:t>
      </w:r>
      <w:r>
        <w:rPr>
          <w:spacing w:val="1"/>
          <w:vertAlign w:val="baseline"/>
        </w:rPr>
        <w:t> </w:t>
      </w:r>
      <w:r>
        <w:rPr>
          <w:vertAlign w:val="baseline"/>
        </w:rPr>
        <w:t>on</w:t>
      </w:r>
      <w:r>
        <w:rPr>
          <w:spacing w:val="1"/>
          <w:vertAlign w:val="baseline"/>
        </w:rPr>
        <w:t> </w:t>
      </w:r>
      <w:r>
        <w:rPr>
          <w:vertAlign w:val="baseline"/>
        </w:rPr>
        <w:t>identification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antibiogram</w:t>
      </w:r>
      <w:r>
        <w:rPr>
          <w:spacing w:val="50"/>
          <w:vertAlign w:val="baseline"/>
        </w:rPr>
        <w:t> </w:t>
      </w:r>
      <w:r>
        <w:rPr>
          <w:vertAlign w:val="baseline"/>
        </w:rPr>
        <w:t>of</w:t>
      </w:r>
      <w:r>
        <w:rPr>
          <w:spacing w:val="-47"/>
          <w:vertAlign w:val="baseline"/>
        </w:rPr>
        <w:t> </w:t>
      </w:r>
      <w:r>
        <w:rPr>
          <w:vertAlign w:val="baseline"/>
        </w:rPr>
        <w:t>the</w:t>
      </w:r>
      <w:r>
        <w:rPr>
          <w:spacing w:val="-3"/>
          <w:vertAlign w:val="baseline"/>
        </w:rPr>
        <w:t> </w:t>
      </w:r>
      <w:r>
        <w:rPr>
          <w:vertAlign w:val="baseline"/>
        </w:rPr>
        <w:t>organism</w:t>
      </w:r>
      <w:r>
        <w:rPr>
          <w:spacing w:val="-4"/>
          <w:vertAlign w:val="baseline"/>
        </w:rPr>
        <w:t> </w:t>
      </w:r>
      <w:r>
        <w:rPr>
          <w:vertAlign w:val="baseline"/>
        </w:rPr>
        <w:t>can</w:t>
      </w:r>
      <w:r>
        <w:rPr>
          <w:spacing w:val="-2"/>
          <w:vertAlign w:val="baseline"/>
        </w:rPr>
        <w:t> </w:t>
      </w:r>
      <w:r>
        <w:rPr>
          <w:vertAlign w:val="baseline"/>
        </w:rPr>
        <w:t>help</w:t>
      </w:r>
      <w:r>
        <w:rPr>
          <w:spacing w:val="-2"/>
          <w:vertAlign w:val="baseline"/>
        </w:rPr>
        <w:t> </w:t>
      </w:r>
      <w:r>
        <w:rPr>
          <w:vertAlign w:val="baseline"/>
        </w:rPr>
        <w:t>target</w:t>
      </w:r>
      <w:r>
        <w:rPr>
          <w:spacing w:val="-3"/>
          <w:vertAlign w:val="baseline"/>
        </w:rPr>
        <w:t> </w:t>
      </w:r>
      <w:r>
        <w:rPr>
          <w:vertAlign w:val="baseline"/>
        </w:rPr>
        <w:t>therapy</w:t>
      </w:r>
      <w:r>
        <w:rPr>
          <w:spacing w:val="-6"/>
          <w:vertAlign w:val="baseline"/>
        </w:rPr>
        <w:t> </w:t>
      </w:r>
      <w:r>
        <w:rPr>
          <w:vertAlign w:val="baseline"/>
        </w:rPr>
        <w:t>appropriately</w:t>
      </w:r>
      <w:r>
        <w:rPr>
          <w:vertAlign w:val="superscript"/>
        </w:rPr>
        <w:t>2</w:t>
      </w:r>
      <w:r>
        <w:rPr>
          <w:vertAlign w:val="baseline"/>
        </w:rPr>
        <w:t>.</w:t>
      </w:r>
    </w:p>
    <w:p>
      <w:pPr>
        <w:pStyle w:val="BodyText"/>
        <w:spacing w:before="11"/>
        <w:rPr>
          <w:sz w:val="22"/>
        </w:rPr>
      </w:pPr>
    </w:p>
    <w:p>
      <w:pPr>
        <w:pStyle w:val="BodyText"/>
        <w:spacing w:line="276" w:lineRule="auto"/>
        <w:ind w:left="220" w:right="38"/>
        <w:jc w:val="both"/>
      </w:pPr>
      <w:r>
        <w:rPr>
          <w:color w:val="231F1F"/>
        </w:rPr>
        <w:t>Determining</w:t>
      </w:r>
      <w:r>
        <w:rPr>
          <w:color w:val="231F1F"/>
          <w:spacing w:val="1"/>
        </w:rPr>
        <w:t> </w:t>
      </w:r>
      <w:r>
        <w:rPr>
          <w:color w:val="231F1F"/>
        </w:rPr>
        <w:t>the</w:t>
      </w:r>
      <w:r>
        <w:rPr>
          <w:color w:val="231F1F"/>
          <w:spacing w:val="1"/>
        </w:rPr>
        <w:t> </w:t>
      </w:r>
      <w:r>
        <w:rPr>
          <w:color w:val="231F1F"/>
        </w:rPr>
        <w:t>etiology</w:t>
      </w:r>
      <w:r>
        <w:rPr>
          <w:color w:val="231F1F"/>
          <w:spacing w:val="1"/>
        </w:rPr>
        <w:t> </w:t>
      </w:r>
      <w:r>
        <w:rPr>
          <w:color w:val="231F1F"/>
        </w:rPr>
        <w:t>and</w:t>
      </w:r>
      <w:r>
        <w:rPr>
          <w:color w:val="231F1F"/>
          <w:spacing w:val="1"/>
        </w:rPr>
        <w:t> </w:t>
      </w:r>
      <w:r>
        <w:rPr>
          <w:color w:val="231F1F"/>
        </w:rPr>
        <w:t>antimicrobial</w:t>
      </w:r>
      <w:r>
        <w:rPr>
          <w:color w:val="231F1F"/>
          <w:spacing w:val="1"/>
        </w:rPr>
        <w:t> </w:t>
      </w:r>
      <w:r>
        <w:rPr>
          <w:color w:val="231F1F"/>
        </w:rPr>
        <w:t>susceptibility profile of invasive pathogens is an</w:t>
      </w:r>
      <w:r>
        <w:rPr>
          <w:color w:val="231F1F"/>
          <w:spacing w:val="1"/>
        </w:rPr>
        <w:t> </w:t>
      </w:r>
      <w:r>
        <w:rPr>
          <w:color w:val="231F1F"/>
        </w:rPr>
        <w:t>important part of clinical practice that can generate</w:t>
      </w:r>
      <w:r>
        <w:rPr>
          <w:color w:val="231F1F"/>
          <w:spacing w:val="1"/>
        </w:rPr>
        <w:t> </w:t>
      </w:r>
      <w:r>
        <w:rPr>
          <w:color w:val="231F1F"/>
        </w:rPr>
        <w:t>data</w:t>
      </w:r>
      <w:r>
        <w:rPr>
          <w:color w:val="231F1F"/>
          <w:spacing w:val="1"/>
        </w:rPr>
        <w:t> </w:t>
      </w:r>
      <w:r>
        <w:rPr>
          <w:color w:val="231F1F"/>
        </w:rPr>
        <w:t>to</w:t>
      </w:r>
      <w:r>
        <w:rPr>
          <w:color w:val="231F1F"/>
          <w:spacing w:val="1"/>
        </w:rPr>
        <w:t> </w:t>
      </w:r>
      <w:r>
        <w:rPr>
          <w:color w:val="231F1F"/>
        </w:rPr>
        <w:t>improve</w:t>
      </w:r>
      <w:r>
        <w:rPr>
          <w:color w:val="231F1F"/>
          <w:spacing w:val="1"/>
        </w:rPr>
        <w:t> </w:t>
      </w:r>
      <w:r>
        <w:rPr>
          <w:color w:val="231F1F"/>
        </w:rPr>
        <w:t>therapeutic</w:t>
      </w:r>
      <w:r>
        <w:rPr>
          <w:color w:val="231F1F"/>
          <w:spacing w:val="1"/>
        </w:rPr>
        <w:t> </w:t>
      </w:r>
      <w:r>
        <w:rPr>
          <w:color w:val="231F1F"/>
        </w:rPr>
        <w:t>decisions</w:t>
      </w:r>
      <w:r>
        <w:rPr>
          <w:color w:val="231F1F"/>
          <w:spacing w:val="1"/>
        </w:rPr>
        <w:t> </w:t>
      </w:r>
      <w:r>
        <w:rPr>
          <w:color w:val="231F1F"/>
        </w:rPr>
        <w:t>and</w:t>
      </w:r>
      <w:r>
        <w:rPr>
          <w:color w:val="231F1F"/>
          <w:spacing w:val="1"/>
        </w:rPr>
        <w:t> </w:t>
      </w:r>
      <w:r>
        <w:rPr>
          <w:color w:val="231F1F"/>
        </w:rPr>
        <w:t>guide</w:t>
      </w:r>
      <w:r>
        <w:rPr>
          <w:color w:val="231F1F"/>
          <w:spacing w:val="-47"/>
        </w:rPr>
        <w:t> </w:t>
      </w:r>
      <w:r>
        <w:rPr>
          <w:color w:val="231F1F"/>
        </w:rPr>
        <w:t>prevention strategies. So the aim of this study was</w:t>
      </w:r>
      <w:r>
        <w:rPr>
          <w:color w:val="231F1F"/>
          <w:spacing w:val="1"/>
        </w:rPr>
        <w:t> </w:t>
      </w:r>
      <w:r>
        <w:rPr>
          <w:color w:val="231F1F"/>
        </w:rPr>
        <w:t>to retrospectively assess the bacterial etiologies of</w:t>
      </w:r>
      <w:r>
        <w:rPr>
          <w:color w:val="231F1F"/>
          <w:spacing w:val="1"/>
        </w:rPr>
        <w:t> </w:t>
      </w:r>
      <w:r>
        <w:rPr>
          <w:color w:val="231F1F"/>
        </w:rPr>
        <w:t>meningitis</w:t>
      </w:r>
      <w:r>
        <w:rPr>
          <w:color w:val="231F1F"/>
          <w:spacing w:val="1"/>
        </w:rPr>
        <w:t> </w:t>
      </w:r>
      <w:r>
        <w:rPr>
          <w:color w:val="231F1F"/>
        </w:rPr>
        <w:t>and</w:t>
      </w:r>
      <w:r>
        <w:rPr>
          <w:color w:val="231F1F"/>
          <w:spacing w:val="1"/>
        </w:rPr>
        <w:t> </w:t>
      </w:r>
      <w:r>
        <w:rPr>
          <w:color w:val="231F1F"/>
        </w:rPr>
        <w:t>their</w:t>
      </w:r>
      <w:r>
        <w:rPr>
          <w:color w:val="231F1F"/>
          <w:spacing w:val="1"/>
        </w:rPr>
        <w:t> </w:t>
      </w:r>
      <w:r>
        <w:rPr>
          <w:color w:val="231F1F"/>
        </w:rPr>
        <w:t>antimicrobial</w:t>
      </w:r>
      <w:r>
        <w:rPr>
          <w:color w:val="231F1F"/>
          <w:spacing w:val="1"/>
        </w:rPr>
        <w:t> </w:t>
      </w:r>
      <w:r>
        <w:rPr>
          <w:color w:val="231F1F"/>
        </w:rPr>
        <w:t>susceptibility</w:t>
      </w:r>
      <w:r>
        <w:rPr>
          <w:color w:val="231F1F"/>
          <w:spacing w:val="1"/>
        </w:rPr>
        <w:t> </w:t>
      </w:r>
      <w:r>
        <w:rPr>
          <w:color w:val="231F1F"/>
        </w:rPr>
        <w:t>pattern</w:t>
      </w:r>
      <w:r>
        <w:rPr>
          <w:color w:val="231F1F"/>
          <w:spacing w:val="1"/>
        </w:rPr>
        <w:t> </w:t>
      </w:r>
      <w:r>
        <w:rPr>
          <w:color w:val="231F1F"/>
        </w:rPr>
        <w:t>in</w:t>
      </w:r>
      <w:r>
        <w:rPr>
          <w:color w:val="231F1F"/>
          <w:spacing w:val="1"/>
        </w:rPr>
        <w:t> </w:t>
      </w:r>
      <w:r>
        <w:rPr>
          <w:color w:val="231F1F"/>
        </w:rPr>
        <w:t>Gondar</w:t>
      </w:r>
      <w:r>
        <w:rPr>
          <w:color w:val="231F1F"/>
          <w:spacing w:val="1"/>
        </w:rPr>
        <w:t> </w:t>
      </w:r>
      <w:r>
        <w:rPr>
          <w:color w:val="231F1F"/>
        </w:rPr>
        <w:t>University</w:t>
      </w:r>
      <w:r>
        <w:rPr>
          <w:color w:val="231F1F"/>
          <w:spacing w:val="1"/>
        </w:rPr>
        <w:t> </w:t>
      </w:r>
      <w:r>
        <w:rPr>
          <w:color w:val="231F1F"/>
        </w:rPr>
        <w:t>Teaching</w:t>
      </w:r>
      <w:r>
        <w:rPr>
          <w:color w:val="231F1F"/>
          <w:spacing w:val="1"/>
        </w:rPr>
        <w:t> </w:t>
      </w:r>
      <w:r>
        <w:rPr>
          <w:color w:val="231F1F"/>
        </w:rPr>
        <w:t>Hospital,</w:t>
      </w:r>
      <w:r>
        <w:rPr>
          <w:color w:val="231F1F"/>
          <w:spacing w:val="-47"/>
        </w:rPr>
        <w:t> </w:t>
      </w:r>
      <w:r>
        <w:rPr>
          <w:color w:val="231F1F"/>
        </w:rPr>
        <w:t>North</w:t>
      </w:r>
      <w:r>
        <w:rPr>
          <w:color w:val="231F1F"/>
          <w:spacing w:val="-2"/>
        </w:rPr>
        <w:t> </w:t>
      </w:r>
      <w:r>
        <w:rPr>
          <w:color w:val="231F1F"/>
        </w:rPr>
        <w:t>West Ethiopia.</w:t>
      </w:r>
    </w:p>
    <w:p>
      <w:pPr>
        <w:pStyle w:val="BodyText"/>
        <w:spacing w:before="3"/>
        <w:rPr>
          <w:sz w:val="23"/>
        </w:rPr>
      </w:pPr>
    </w:p>
    <w:p>
      <w:pPr>
        <w:pStyle w:val="Heading2"/>
        <w:jc w:val="both"/>
      </w:pPr>
      <w:r>
        <w:rPr>
          <w:color w:val="231F1F"/>
        </w:rPr>
        <w:t>Materials</w:t>
      </w:r>
      <w:r>
        <w:rPr>
          <w:color w:val="231F1F"/>
          <w:spacing w:val="-4"/>
        </w:rPr>
        <w:t> </w:t>
      </w:r>
      <w:r>
        <w:rPr>
          <w:color w:val="231F1F"/>
        </w:rPr>
        <w:t>and</w:t>
      </w:r>
      <w:r>
        <w:rPr>
          <w:color w:val="231F1F"/>
          <w:spacing w:val="-2"/>
        </w:rPr>
        <w:t> </w:t>
      </w:r>
      <w:r>
        <w:rPr>
          <w:color w:val="231F1F"/>
        </w:rPr>
        <w:t>Methods</w:t>
      </w:r>
    </w:p>
    <w:p>
      <w:pPr>
        <w:spacing w:before="42"/>
        <w:ind w:left="220" w:right="0" w:firstLine="0"/>
        <w:jc w:val="both"/>
        <w:rPr>
          <w:b/>
          <w:sz w:val="20"/>
        </w:rPr>
      </w:pPr>
      <w:r>
        <w:rPr>
          <w:b/>
          <w:color w:val="231F1F"/>
          <w:sz w:val="20"/>
        </w:rPr>
        <w:t>Study</w:t>
      </w:r>
      <w:r>
        <w:rPr>
          <w:b/>
          <w:color w:val="231F1F"/>
          <w:spacing w:val="-3"/>
          <w:sz w:val="20"/>
        </w:rPr>
        <w:t> </w:t>
      </w:r>
      <w:r>
        <w:rPr>
          <w:b/>
          <w:color w:val="231F1F"/>
          <w:sz w:val="20"/>
        </w:rPr>
        <w:t>design</w:t>
      </w:r>
    </w:p>
    <w:p>
      <w:pPr>
        <w:pStyle w:val="BodyText"/>
        <w:spacing w:line="276" w:lineRule="auto" w:before="29"/>
        <w:ind w:left="220" w:right="41"/>
        <w:jc w:val="both"/>
      </w:pPr>
      <w:r>
        <w:rPr>
          <w:color w:val="231F1F"/>
        </w:rPr>
        <w:t>This study is a retrospective analysis of 1754 CSF</w:t>
      </w:r>
      <w:r>
        <w:rPr>
          <w:color w:val="231F1F"/>
          <w:spacing w:val="1"/>
        </w:rPr>
        <w:t> </w:t>
      </w:r>
      <w:r>
        <w:rPr>
          <w:color w:val="231F1F"/>
        </w:rPr>
        <w:t>samples send</w:t>
      </w:r>
      <w:r>
        <w:rPr>
          <w:color w:val="231F1F"/>
          <w:spacing w:val="1"/>
        </w:rPr>
        <w:t> </w:t>
      </w:r>
      <w:r>
        <w:rPr>
          <w:color w:val="231F1F"/>
        </w:rPr>
        <w:t>to</w:t>
      </w:r>
      <w:r>
        <w:rPr>
          <w:color w:val="231F1F"/>
          <w:spacing w:val="1"/>
        </w:rPr>
        <w:t> </w:t>
      </w:r>
      <w:r>
        <w:rPr>
          <w:color w:val="231F1F"/>
        </w:rPr>
        <w:t>the</w:t>
      </w:r>
      <w:r>
        <w:rPr>
          <w:color w:val="231F1F"/>
          <w:spacing w:val="1"/>
        </w:rPr>
        <w:t> </w:t>
      </w:r>
      <w:r>
        <w:rPr>
          <w:color w:val="231F1F"/>
        </w:rPr>
        <w:t>microbiology department of</w:t>
      </w:r>
      <w:r>
        <w:rPr>
          <w:color w:val="231F1F"/>
          <w:spacing w:val="1"/>
        </w:rPr>
        <w:t> </w:t>
      </w:r>
      <w:r>
        <w:rPr>
          <w:color w:val="231F1F"/>
        </w:rPr>
        <w:t>Gondar</w:t>
      </w:r>
      <w:r>
        <w:rPr>
          <w:color w:val="231F1F"/>
          <w:spacing w:val="45"/>
        </w:rPr>
        <w:t> </w:t>
      </w:r>
      <w:r>
        <w:rPr>
          <w:color w:val="231F1F"/>
        </w:rPr>
        <w:t>University</w:t>
      </w:r>
      <w:r>
        <w:rPr>
          <w:color w:val="231F1F"/>
          <w:spacing w:val="43"/>
        </w:rPr>
        <w:t> </w:t>
      </w:r>
      <w:r>
        <w:rPr>
          <w:color w:val="231F1F"/>
        </w:rPr>
        <w:t>Teaching</w:t>
      </w:r>
      <w:r>
        <w:rPr>
          <w:color w:val="231F1F"/>
          <w:spacing w:val="47"/>
        </w:rPr>
        <w:t> </w:t>
      </w:r>
      <w:r>
        <w:rPr>
          <w:color w:val="231F1F"/>
        </w:rPr>
        <w:t>Hospital</w:t>
      </w:r>
      <w:r>
        <w:rPr>
          <w:color w:val="231F1F"/>
          <w:spacing w:val="45"/>
        </w:rPr>
        <w:t> </w:t>
      </w:r>
      <w:r>
        <w:rPr>
          <w:color w:val="231F1F"/>
        </w:rPr>
        <w:t>Laboratory</w:t>
      </w:r>
    </w:p>
    <w:p>
      <w:pPr>
        <w:pStyle w:val="BodyText"/>
        <w:spacing w:line="276" w:lineRule="auto" w:before="80"/>
        <w:ind w:left="220" w:right="220"/>
        <w:jc w:val="both"/>
      </w:pPr>
      <w:r>
        <w:rPr/>
        <w:br w:type="column"/>
      </w:r>
      <w:r>
        <w:rPr>
          <w:color w:val="231F1F"/>
        </w:rPr>
        <w:t>from September, 2009 up to March, 2011. Culture</w:t>
      </w:r>
      <w:r>
        <w:rPr>
          <w:color w:val="231F1F"/>
          <w:spacing w:val="1"/>
        </w:rPr>
        <w:t> </w:t>
      </w:r>
      <w:r>
        <w:rPr>
          <w:color w:val="231F1F"/>
        </w:rPr>
        <w:t>results and antimicrobial susceptibility pattern of</w:t>
      </w:r>
      <w:r>
        <w:rPr>
          <w:color w:val="231F1F"/>
          <w:spacing w:val="1"/>
        </w:rPr>
        <w:t> </w:t>
      </w:r>
      <w:r>
        <w:rPr>
          <w:color w:val="231F1F"/>
        </w:rPr>
        <w:t>isolates</w:t>
      </w:r>
      <w:r>
        <w:rPr>
          <w:color w:val="231F1F"/>
          <w:spacing w:val="1"/>
        </w:rPr>
        <w:t> </w:t>
      </w:r>
      <w:r>
        <w:rPr>
          <w:color w:val="231F1F"/>
        </w:rPr>
        <w:t>was</w:t>
      </w:r>
      <w:r>
        <w:rPr>
          <w:color w:val="231F1F"/>
          <w:spacing w:val="1"/>
        </w:rPr>
        <w:t> </w:t>
      </w:r>
      <w:r>
        <w:rPr>
          <w:color w:val="231F1F"/>
        </w:rPr>
        <w:t>collected</w:t>
      </w:r>
      <w:r>
        <w:rPr>
          <w:color w:val="231F1F"/>
          <w:spacing w:val="1"/>
        </w:rPr>
        <w:t> </w:t>
      </w:r>
      <w:r>
        <w:rPr>
          <w:color w:val="231F1F"/>
        </w:rPr>
        <w:t>from</w:t>
      </w:r>
      <w:r>
        <w:rPr>
          <w:color w:val="231F1F"/>
          <w:spacing w:val="1"/>
        </w:rPr>
        <w:t> </w:t>
      </w:r>
      <w:r>
        <w:rPr>
          <w:color w:val="231F1F"/>
        </w:rPr>
        <w:t>the</w:t>
      </w:r>
      <w:r>
        <w:rPr>
          <w:color w:val="231F1F"/>
          <w:spacing w:val="1"/>
        </w:rPr>
        <w:t> </w:t>
      </w:r>
      <w:r>
        <w:rPr>
          <w:color w:val="231F1F"/>
        </w:rPr>
        <w:t>microbiology</w:t>
      </w:r>
      <w:r>
        <w:rPr>
          <w:color w:val="231F1F"/>
          <w:spacing w:val="1"/>
        </w:rPr>
        <w:t> </w:t>
      </w:r>
      <w:r>
        <w:rPr>
          <w:color w:val="231F1F"/>
        </w:rPr>
        <w:t>registration</w:t>
      </w:r>
      <w:r>
        <w:rPr>
          <w:color w:val="231F1F"/>
          <w:spacing w:val="-2"/>
        </w:rPr>
        <w:t> </w:t>
      </w:r>
      <w:r>
        <w:rPr>
          <w:color w:val="231F1F"/>
        </w:rPr>
        <w:t>book.</w:t>
      </w:r>
    </w:p>
    <w:p>
      <w:pPr>
        <w:pStyle w:val="BodyText"/>
        <w:spacing w:before="5"/>
        <w:rPr>
          <w:sz w:val="23"/>
        </w:rPr>
      </w:pPr>
    </w:p>
    <w:p>
      <w:pPr>
        <w:pStyle w:val="Heading3"/>
      </w:pPr>
      <w:r>
        <w:rPr/>
        <w:t>Isolation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Identification</w:t>
      </w:r>
      <w:r>
        <w:rPr>
          <w:spacing w:val="-1"/>
        </w:rPr>
        <w:t> </w:t>
      </w:r>
      <w:r>
        <w:rPr/>
        <w:t>of</w:t>
      </w:r>
      <w:r>
        <w:rPr>
          <w:spacing w:val="-3"/>
        </w:rPr>
        <w:t> </w:t>
      </w:r>
      <w:r>
        <w:rPr/>
        <w:t>Bacteria</w:t>
      </w:r>
    </w:p>
    <w:p>
      <w:pPr>
        <w:pStyle w:val="BodyText"/>
        <w:spacing w:line="276" w:lineRule="auto" w:before="30"/>
        <w:ind w:left="220" w:right="222"/>
        <w:jc w:val="both"/>
      </w:pPr>
      <w:r>
        <w:rPr/>
        <w:t>CSF samples were collected as part of the routine</w:t>
      </w:r>
      <w:r>
        <w:rPr>
          <w:spacing w:val="1"/>
        </w:rPr>
        <w:t> </w:t>
      </w:r>
      <w:r>
        <w:rPr/>
        <w:t>clinical</w:t>
      </w:r>
      <w:r>
        <w:rPr>
          <w:spacing w:val="1"/>
        </w:rPr>
        <w:t> </w:t>
      </w:r>
      <w:r>
        <w:rPr/>
        <w:t>management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patients</w:t>
      </w:r>
      <w:r>
        <w:rPr>
          <w:spacing w:val="1"/>
        </w:rPr>
        <w:t> </w:t>
      </w:r>
      <w:r>
        <w:rPr/>
        <w:t>admitted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different wards of the hospital. The samples were</w:t>
      </w:r>
      <w:r>
        <w:rPr>
          <w:spacing w:val="1"/>
        </w:rPr>
        <w:t> </w:t>
      </w:r>
      <w:r>
        <w:rPr/>
        <w:t>collected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sterile</w:t>
      </w:r>
      <w:r>
        <w:rPr>
          <w:spacing w:val="1"/>
        </w:rPr>
        <w:t> </w:t>
      </w:r>
      <w:r>
        <w:rPr/>
        <w:t>containers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attending</w:t>
      </w:r>
      <w:r>
        <w:rPr>
          <w:spacing w:val="-47"/>
        </w:rPr>
        <w:t> </w:t>
      </w:r>
      <w:r>
        <w:rPr/>
        <w:t>physicians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delivered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Bacteriology</w:t>
      </w:r>
      <w:r>
        <w:rPr>
          <w:spacing w:val="1"/>
        </w:rPr>
        <w:t> </w:t>
      </w:r>
      <w:r>
        <w:rPr/>
        <w:t>laboratory within half an hour after collection. The</w:t>
      </w:r>
      <w:r>
        <w:rPr>
          <w:spacing w:val="1"/>
        </w:rPr>
        <w:t> </w:t>
      </w:r>
      <w:r>
        <w:rPr/>
        <w:t>samples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processed</w:t>
      </w:r>
      <w:r>
        <w:rPr>
          <w:spacing w:val="1"/>
        </w:rPr>
        <w:t> </w:t>
      </w:r>
      <w:r>
        <w:rPr/>
        <w:t>following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standard</w:t>
      </w:r>
      <w:r>
        <w:rPr>
          <w:spacing w:val="1"/>
        </w:rPr>
        <w:t> </w:t>
      </w:r>
      <w:r>
        <w:rPr/>
        <w:t>microbiological procedures by inoculating on blood</w:t>
      </w:r>
      <w:r>
        <w:rPr>
          <w:spacing w:val="-47"/>
        </w:rPr>
        <w:t> </w:t>
      </w:r>
      <w:r>
        <w:rPr/>
        <w:t>agar, chocolate agar, and MacConkey agar plates</w:t>
      </w:r>
      <w:r>
        <w:rPr>
          <w:spacing w:val="1"/>
        </w:rPr>
        <w:t> </w:t>
      </w:r>
      <w:r>
        <w:rPr/>
        <w:t>(Oxoid</w:t>
      </w:r>
      <w:r>
        <w:rPr>
          <w:spacing w:val="1"/>
        </w:rPr>
        <w:t> </w:t>
      </w:r>
      <w:r>
        <w:rPr/>
        <w:t>Ltd,</w:t>
      </w:r>
      <w:r>
        <w:rPr>
          <w:spacing w:val="1"/>
        </w:rPr>
        <w:t> </w:t>
      </w:r>
      <w:r>
        <w:rPr/>
        <w:t>Basingstoke,</w:t>
      </w:r>
      <w:r>
        <w:rPr>
          <w:spacing w:val="1"/>
        </w:rPr>
        <w:t> </w:t>
      </w:r>
      <w:r>
        <w:rPr/>
        <w:t>Hampshire,</w:t>
      </w:r>
      <w:r>
        <w:rPr>
          <w:spacing w:val="1"/>
        </w:rPr>
        <w:t> </w:t>
      </w:r>
      <w:r>
        <w:rPr/>
        <w:t>UK)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incubating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35-</w:t>
      </w:r>
      <w:r>
        <w:rPr>
          <w:spacing w:val="1"/>
        </w:rPr>
        <w:t> </w:t>
      </w:r>
      <w:r>
        <w:rPr/>
        <w:t>37</w:t>
      </w:r>
      <w:r>
        <w:rPr>
          <w:vertAlign w:val="superscript"/>
        </w:rPr>
        <w:t>o</w:t>
      </w:r>
      <w:r>
        <w:rPr>
          <w:vertAlign w:val="baseline"/>
        </w:rPr>
        <w:t>C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24-48hrs.</w:t>
      </w:r>
      <w:r>
        <w:rPr>
          <w:spacing w:val="1"/>
          <w:vertAlign w:val="baseline"/>
        </w:rPr>
        <w:t> </w:t>
      </w:r>
      <w:r>
        <w:rPr>
          <w:vertAlign w:val="baseline"/>
        </w:rPr>
        <w:t>Organisms</w:t>
      </w:r>
      <w:r>
        <w:rPr>
          <w:spacing w:val="-47"/>
          <w:vertAlign w:val="baseline"/>
        </w:rPr>
        <w:t> </w:t>
      </w:r>
      <w:r>
        <w:rPr>
          <w:vertAlign w:val="baseline"/>
        </w:rPr>
        <w:t>were</w:t>
      </w:r>
      <w:r>
        <w:rPr>
          <w:spacing w:val="1"/>
          <w:vertAlign w:val="baseline"/>
        </w:rPr>
        <w:t> </w:t>
      </w:r>
      <w:r>
        <w:rPr>
          <w:vertAlign w:val="baseline"/>
        </w:rPr>
        <w:t>identified</w:t>
      </w:r>
      <w:r>
        <w:rPr>
          <w:spacing w:val="1"/>
          <w:vertAlign w:val="baseline"/>
        </w:rPr>
        <w:t> </w:t>
      </w:r>
      <w:r>
        <w:rPr>
          <w:vertAlign w:val="baseline"/>
        </w:rPr>
        <w:t>by</w:t>
      </w:r>
      <w:r>
        <w:rPr>
          <w:spacing w:val="1"/>
          <w:vertAlign w:val="baseline"/>
        </w:rPr>
        <w:t> </w:t>
      </w:r>
      <w:r>
        <w:rPr>
          <w:vertAlign w:val="baseline"/>
        </w:rPr>
        <w:t>standard</w:t>
      </w:r>
      <w:r>
        <w:rPr>
          <w:spacing w:val="1"/>
          <w:vertAlign w:val="baseline"/>
        </w:rPr>
        <w:t> </w:t>
      </w:r>
      <w:r>
        <w:rPr>
          <w:vertAlign w:val="baseline"/>
        </w:rPr>
        <w:t>microbiological</w:t>
      </w:r>
      <w:r>
        <w:rPr>
          <w:spacing w:val="1"/>
          <w:vertAlign w:val="baseline"/>
        </w:rPr>
        <w:t> </w:t>
      </w:r>
      <w:r>
        <w:rPr>
          <w:vertAlign w:val="baseline"/>
        </w:rPr>
        <w:t>methods,</w:t>
      </w:r>
      <w:r>
        <w:rPr>
          <w:spacing w:val="1"/>
          <w:vertAlign w:val="baseline"/>
        </w:rPr>
        <w:t> </w:t>
      </w:r>
      <w:r>
        <w:rPr>
          <w:vertAlign w:val="baseline"/>
        </w:rPr>
        <w:t>which</w:t>
      </w:r>
      <w:r>
        <w:rPr>
          <w:spacing w:val="1"/>
          <w:vertAlign w:val="baseline"/>
        </w:rPr>
        <w:t> </w:t>
      </w:r>
      <w:r>
        <w:rPr>
          <w:vertAlign w:val="baseline"/>
        </w:rPr>
        <w:t>included</w:t>
      </w:r>
      <w:r>
        <w:rPr>
          <w:spacing w:val="1"/>
          <w:vertAlign w:val="baseline"/>
        </w:rPr>
        <w:t> </w:t>
      </w:r>
      <w:r>
        <w:rPr>
          <w:vertAlign w:val="baseline"/>
        </w:rPr>
        <w:t>colony</w:t>
      </w:r>
      <w:r>
        <w:rPr>
          <w:spacing w:val="1"/>
          <w:vertAlign w:val="baseline"/>
        </w:rPr>
        <w:t> </w:t>
      </w:r>
      <w:r>
        <w:rPr>
          <w:vertAlign w:val="baseline"/>
        </w:rPr>
        <w:t>morphology,</w:t>
      </w:r>
      <w:r>
        <w:rPr>
          <w:spacing w:val="1"/>
          <w:vertAlign w:val="baseline"/>
        </w:rPr>
        <w:t> </w:t>
      </w:r>
      <w:r>
        <w:rPr>
          <w:vertAlign w:val="baseline"/>
        </w:rPr>
        <w:t>staining</w:t>
      </w:r>
      <w:r>
        <w:rPr>
          <w:spacing w:val="-2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biochemical</w:t>
      </w:r>
      <w:r>
        <w:rPr>
          <w:spacing w:val="-1"/>
          <w:vertAlign w:val="baseline"/>
        </w:rPr>
        <w:t> </w:t>
      </w:r>
      <w:r>
        <w:rPr>
          <w:vertAlign w:val="baseline"/>
        </w:rPr>
        <w:t>tests</w:t>
      </w:r>
      <w:r>
        <w:rPr>
          <w:vertAlign w:val="superscript"/>
        </w:rPr>
        <w:t>9</w:t>
      </w:r>
      <w:r>
        <w:rPr>
          <w:vertAlign w:val="baseline"/>
        </w:rPr>
        <w:t>.</w:t>
      </w:r>
    </w:p>
    <w:p>
      <w:pPr>
        <w:pStyle w:val="BodyText"/>
        <w:spacing w:before="4"/>
        <w:rPr>
          <w:sz w:val="23"/>
        </w:rPr>
      </w:pPr>
    </w:p>
    <w:p>
      <w:pPr>
        <w:pStyle w:val="Heading3"/>
      </w:pPr>
      <w:r>
        <w:rPr/>
        <w:t>Antimicrobial</w:t>
      </w:r>
      <w:r>
        <w:rPr>
          <w:spacing w:val="-7"/>
        </w:rPr>
        <w:t> </w:t>
      </w:r>
      <w:r>
        <w:rPr/>
        <w:t>susceptibility</w:t>
      </w:r>
      <w:r>
        <w:rPr>
          <w:spacing w:val="-6"/>
        </w:rPr>
        <w:t> </w:t>
      </w:r>
      <w:r>
        <w:rPr/>
        <w:t>testing</w:t>
      </w:r>
    </w:p>
    <w:p>
      <w:pPr>
        <w:pStyle w:val="BodyText"/>
        <w:spacing w:line="276" w:lineRule="auto" w:before="30"/>
        <w:ind w:left="220" w:right="218"/>
        <w:jc w:val="both"/>
      </w:pPr>
      <w:r>
        <w:rPr/>
        <w:t>The antimicrobial susceptibility tests of the isolates</w:t>
      </w:r>
      <w:r>
        <w:rPr>
          <w:spacing w:val="-47"/>
        </w:rPr>
        <w:t> </w:t>
      </w:r>
      <w:r>
        <w:rPr/>
        <w:t>was</w:t>
      </w:r>
      <w:r>
        <w:rPr>
          <w:spacing w:val="1"/>
        </w:rPr>
        <w:t> </w:t>
      </w:r>
      <w:r>
        <w:rPr/>
        <w:t>performed</w:t>
      </w:r>
      <w:r>
        <w:rPr>
          <w:spacing w:val="1"/>
        </w:rPr>
        <w:t> </w:t>
      </w:r>
      <w:r>
        <w:rPr/>
        <w:t>according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National</w:t>
      </w:r>
      <w:r>
        <w:rPr>
          <w:spacing w:val="1"/>
        </w:rPr>
        <w:t> </w:t>
      </w:r>
      <w:r>
        <w:rPr/>
        <w:t>Committee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Clinical</w:t>
      </w:r>
      <w:r>
        <w:rPr>
          <w:spacing w:val="1"/>
        </w:rPr>
        <w:t> </w:t>
      </w:r>
      <w:r>
        <w:rPr/>
        <w:t>Laboratory</w:t>
      </w:r>
      <w:r>
        <w:rPr>
          <w:spacing w:val="1"/>
        </w:rPr>
        <w:t> </w:t>
      </w:r>
      <w:r>
        <w:rPr/>
        <w:t>Standards</w:t>
      </w:r>
      <w:r>
        <w:rPr>
          <w:spacing w:val="1"/>
        </w:rPr>
        <w:t> </w:t>
      </w:r>
      <w:r>
        <w:rPr/>
        <w:t>(NCCLS) method using Kibry-Bauer disk diffusion</w:t>
      </w:r>
      <w:r>
        <w:rPr>
          <w:spacing w:val="-47"/>
        </w:rPr>
        <w:t> </w:t>
      </w:r>
      <w:r>
        <w:rPr/>
        <w:t>test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Mulle-Hinton</w:t>
      </w:r>
      <w:r>
        <w:rPr>
          <w:spacing w:val="1"/>
        </w:rPr>
        <w:t> </w:t>
      </w:r>
      <w:r>
        <w:rPr/>
        <w:t>agar</w:t>
      </w:r>
      <w:r>
        <w:rPr>
          <w:spacing w:val="1"/>
        </w:rPr>
        <w:t> </w:t>
      </w:r>
      <w:r>
        <w:rPr/>
        <w:t>(Oxoid</w:t>
      </w:r>
      <w:r>
        <w:rPr>
          <w:spacing w:val="1"/>
        </w:rPr>
        <w:t> </w:t>
      </w:r>
      <w:r>
        <w:rPr/>
        <w:t>CM0337</w:t>
      </w:r>
      <w:r>
        <w:rPr>
          <w:spacing w:val="1"/>
        </w:rPr>
        <w:t> </w:t>
      </w:r>
      <w:r>
        <w:rPr/>
        <w:t>Basingstoke, England). </w:t>
      </w:r>
      <w:r>
        <w:rPr>
          <w:i/>
        </w:rPr>
        <w:t>E. coli </w:t>
      </w:r>
      <w:r>
        <w:rPr/>
        <w:t>ATCC 25922 and </w:t>
      </w:r>
      <w:r>
        <w:rPr>
          <w:i/>
        </w:rPr>
        <w:t>S.</w:t>
      </w:r>
      <w:r>
        <w:rPr>
          <w:i/>
          <w:spacing w:val="1"/>
        </w:rPr>
        <w:t> </w:t>
      </w:r>
      <w:r>
        <w:rPr>
          <w:i/>
        </w:rPr>
        <w:t>aureus </w:t>
      </w:r>
      <w:r>
        <w:rPr/>
        <w:t>ATCC 25923 were used as quality control</w:t>
      </w:r>
      <w:r>
        <w:rPr>
          <w:spacing w:val="1"/>
        </w:rPr>
        <w:t> </w:t>
      </w:r>
      <w:r>
        <w:rPr>
          <w:spacing w:val="-1"/>
        </w:rPr>
        <w:t>organisms</w:t>
      </w:r>
      <w:r>
        <w:rPr>
          <w:spacing w:val="-1"/>
          <w:vertAlign w:val="superscript"/>
        </w:rPr>
        <w:t>10,</w:t>
      </w:r>
      <w:r>
        <w:rPr>
          <w:spacing w:val="-16"/>
          <w:vertAlign w:val="baseline"/>
        </w:rPr>
        <w:t> </w:t>
      </w:r>
      <w:r>
        <w:rPr>
          <w:vertAlign w:val="superscript"/>
        </w:rPr>
        <w:t>11</w:t>
      </w:r>
      <w:r>
        <w:rPr>
          <w:vertAlign w:val="baseline"/>
        </w:rPr>
        <w:t>.</w:t>
      </w:r>
    </w:p>
    <w:p>
      <w:pPr>
        <w:pStyle w:val="BodyText"/>
        <w:spacing w:before="5"/>
        <w:rPr>
          <w:sz w:val="23"/>
        </w:rPr>
      </w:pPr>
    </w:p>
    <w:p>
      <w:pPr>
        <w:pStyle w:val="Heading3"/>
      </w:pPr>
      <w:r>
        <w:rPr/>
        <w:t>Data</w:t>
      </w:r>
      <w:r>
        <w:rPr>
          <w:spacing w:val="-2"/>
        </w:rPr>
        <w:t> </w:t>
      </w:r>
      <w:r>
        <w:rPr/>
        <w:t>analysis</w:t>
      </w:r>
    </w:p>
    <w:p>
      <w:pPr>
        <w:pStyle w:val="BodyText"/>
        <w:spacing w:line="276" w:lineRule="auto" w:before="29"/>
        <w:ind w:left="220" w:right="222"/>
        <w:jc w:val="both"/>
      </w:pPr>
      <w:r>
        <w:rPr/>
        <w:t>The collected data was cleaned and checked for</w:t>
      </w:r>
      <w:r>
        <w:rPr>
          <w:spacing w:val="1"/>
        </w:rPr>
        <w:t> </w:t>
      </w:r>
      <w:r>
        <w:rPr/>
        <w:t>completeness,</w:t>
      </w:r>
      <w:r>
        <w:rPr>
          <w:spacing w:val="1"/>
        </w:rPr>
        <w:t> </w:t>
      </w:r>
      <w:r>
        <w:rPr/>
        <w:t>entered,</w:t>
      </w:r>
      <w:r>
        <w:rPr>
          <w:spacing w:val="1"/>
        </w:rPr>
        <w:t> </w:t>
      </w:r>
      <w:r>
        <w:rPr/>
        <w:t>complied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analyze</w:t>
      </w:r>
      <w:r>
        <w:rPr>
          <w:spacing w:val="1"/>
        </w:rPr>
        <w:t> </w:t>
      </w:r>
      <w:r>
        <w:rPr/>
        <w:t>by</w:t>
      </w:r>
      <w:r>
        <w:rPr>
          <w:spacing w:val="-47"/>
        </w:rPr>
        <w:t> </w:t>
      </w:r>
      <w:r>
        <w:rPr/>
        <w:t>using</w:t>
      </w:r>
      <w:r>
        <w:rPr>
          <w:spacing w:val="1"/>
        </w:rPr>
        <w:t> </w:t>
      </w:r>
      <w:r>
        <w:rPr/>
        <w:t>SPSS</w:t>
      </w:r>
      <w:r>
        <w:rPr>
          <w:spacing w:val="1"/>
        </w:rPr>
        <w:t> </w:t>
      </w:r>
      <w:r>
        <w:rPr/>
        <w:t>version</w:t>
      </w:r>
      <w:r>
        <w:rPr>
          <w:spacing w:val="1"/>
        </w:rPr>
        <w:t> </w:t>
      </w:r>
      <w:r>
        <w:rPr/>
        <w:t>13.</w:t>
      </w:r>
      <w:r>
        <w:rPr>
          <w:spacing w:val="1"/>
        </w:rPr>
        <w:t> </w:t>
      </w:r>
      <w:r>
        <w:rPr/>
        <w:t>Frequencies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percentages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describe</w:t>
      </w:r>
      <w:r>
        <w:rPr>
          <w:spacing w:val="1"/>
        </w:rPr>
        <w:t> </w:t>
      </w:r>
      <w:r>
        <w:rPr/>
        <w:t>findings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results were</w:t>
      </w:r>
      <w:r>
        <w:rPr>
          <w:spacing w:val="-1"/>
        </w:rPr>
        <w:t> </w:t>
      </w:r>
      <w:r>
        <w:rPr/>
        <w:t>presented in</w:t>
      </w:r>
      <w:r>
        <w:rPr>
          <w:spacing w:val="-2"/>
        </w:rPr>
        <w:t> </w:t>
      </w:r>
      <w:r>
        <w:rPr/>
        <w:t>tables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graphs.</w:t>
      </w:r>
    </w:p>
    <w:p>
      <w:pPr>
        <w:pStyle w:val="BodyText"/>
        <w:spacing w:before="7"/>
        <w:rPr>
          <w:sz w:val="23"/>
        </w:rPr>
      </w:pPr>
    </w:p>
    <w:p>
      <w:pPr>
        <w:pStyle w:val="Heading3"/>
      </w:pPr>
      <w:r>
        <w:rPr/>
        <w:t>Ethical</w:t>
      </w:r>
      <w:r>
        <w:rPr>
          <w:spacing w:val="-5"/>
        </w:rPr>
        <w:t> </w:t>
      </w:r>
      <w:r>
        <w:rPr/>
        <w:t>consideration</w:t>
      </w:r>
    </w:p>
    <w:p>
      <w:pPr>
        <w:pStyle w:val="BodyText"/>
        <w:spacing w:line="276" w:lineRule="auto" w:before="29"/>
        <w:ind w:left="220" w:right="224"/>
        <w:jc w:val="both"/>
      </w:pPr>
      <w:r>
        <w:rPr/>
        <w:t>The</w:t>
      </w:r>
      <w:r>
        <w:rPr>
          <w:spacing w:val="1"/>
        </w:rPr>
        <w:t> </w:t>
      </w:r>
      <w:r>
        <w:rPr/>
        <w:t>study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ethically</w:t>
      </w:r>
      <w:r>
        <w:rPr>
          <w:spacing w:val="1"/>
        </w:rPr>
        <w:t> </w:t>
      </w:r>
      <w:r>
        <w:rPr/>
        <w:t>cleared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ethical</w:t>
      </w:r>
      <w:r>
        <w:rPr>
          <w:spacing w:val="1"/>
        </w:rPr>
        <w:t> </w:t>
      </w:r>
      <w:r>
        <w:rPr/>
        <w:t>review</w:t>
      </w:r>
      <w:r>
        <w:rPr>
          <w:spacing w:val="1"/>
        </w:rPr>
        <w:t> </w:t>
      </w:r>
      <w:r>
        <w:rPr/>
        <w:t>committee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department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medical</w:t>
      </w:r>
      <w:r>
        <w:rPr>
          <w:spacing w:val="1"/>
        </w:rPr>
        <w:t> </w:t>
      </w:r>
      <w:r>
        <w:rPr/>
        <w:t>laboratory technology and permission was obtained</w:t>
      </w:r>
      <w:r>
        <w:rPr>
          <w:spacing w:val="-47"/>
        </w:rPr>
        <w:t> </w:t>
      </w:r>
      <w:r>
        <w:rPr/>
        <w:t>from the responsible authorities to use the data in</w:t>
      </w:r>
      <w:r>
        <w:rPr>
          <w:spacing w:val="1"/>
        </w:rPr>
        <w:t> </w:t>
      </w:r>
      <w:r>
        <w:rPr/>
        <w:t>the</w:t>
      </w:r>
      <w:r>
        <w:rPr>
          <w:spacing w:val="-1"/>
        </w:rPr>
        <w:t> </w:t>
      </w:r>
      <w:r>
        <w:rPr/>
        <w:t>laboratory.</w:t>
      </w:r>
    </w:p>
    <w:p>
      <w:pPr>
        <w:pStyle w:val="BodyText"/>
        <w:rPr>
          <w:sz w:val="22"/>
        </w:rPr>
      </w:pPr>
    </w:p>
    <w:p>
      <w:pPr>
        <w:pStyle w:val="BodyText"/>
        <w:spacing w:before="7"/>
        <w:rPr>
          <w:sz w:val="25"/>
        </w:rPr>
      </w:pPr>
    </w:p>
    <w:p>
      <w:pPr>
        <w:pStyle w:val="Heading2"/>
      </w:pPr>
      <w:r>
        <w:rPr/>
        <w:t>Result</w:t>
      </w:r>
    </w:p>
    <w:p>
      <w:pPr>
        <w:pStyle w:val="Heading3"/>
        <w:spacing w:line="276" w:lineRule="auto" w:before="40"/>
        <w:ind w:right="664"/>
        <w:jc w:val="left"/>
      </w:pPr>
      <w:r>
        <w:rPr/>
        <w:t>Patient characteristics and rate of bacterial</w:t>
      </w:r>
      <w:r>
        <w:rPr>
          <w:spacing w:val="-47"/>
        </w:rPr>
        <w:t> </w:t>
      </w:r>
      <w:r>
        <w:rPr/>
        <w:t>isolation</w:t>
      </w:r>
    </w:p>
    <w:p>
      <w:pPr>
        <w:pStyle w:val="BodyText"/>
        <w:spacing w:line="276" w:lineRule="auto"/>
        <w:ind w:left="220" w:right="223"/>
        <w:jc w:val="both"/>
      </w:pPr>
      <w:r>
        <w:rPr/>
        <w:t>Cerebrospinal fluid samples from a total of 1754</w:t>
      </w:r>
      <w:r>
        <w:rPr>
          <w:spacing w:val="1"/>
        </w:rPr>
        <w:t> </w:t>
      </w:r>
      <w:r>
        <w:rPr/>
        <w:t>suspected</w:t>
      </w:r>
      <w:r>
        <w:rPr>
          <w:spacing w:val="1"/>
        </w:rPr>
        <w:t> </w:t>
      </w:r>
      <w:r>
        <w:rPr/>
        <w:t>meningitis</w:t>
      </w:r>
      <w:r>
        <w:rPr>
          <w:spacing w:val="1"/>
        </w:rPr>
        <w:t> </w:t>
      </w:r>
      <w:r>
        <w:rPr/>
        <w:t>cases,</w:t>
      </w:r>
      <w:r>
        <w:rPr>
          <w:spacing w:val="1"/>
        </w:rPr>
        <w:t> </w:t>
      </w:r>
      <w:r>
        <w:rPr/>
        <w:t>1030</w:t>
      </w:r>
      <w:r>
        <w:rPr>
          <w:spacing w:val="1"/>
        </w:rPr>
        <w:t> </w:t>
      </w:r>
      <w:r>
        <w:rPr/>
        <w:t>(58.7%)</w:t>
      </w:r>
      <w:r>
        <w:rPr>
          <w:spacing w:val="50"/>
        </w:rPr>
        <w:t> </w:t>
      </w:r>
      <w:r>
        <w:rPr/>
        <w:t>males</w:t>
      </w:r>
      <w:r>
        <w:rPr>
          <w:spacing w:val="-47"/>
        </w:rPr>
        <w:t> </w:t>
      </w:r>
      <w:r>
        <w:rPr/>
        <w:t>and</w:t>
      </w:r>
      <w:r>
        <w:rPr>
          <w:spacing w:val="36"/>
        </w:rPr>
        <w:t> </w:t>
      </w:r>
      <w:r>
        <w:rPr/>
        <w:t>724</w:t>
      </w:r>
      <w:r>
        <w:rPr>
          <w:spacing w:val="36"/>
        </w:rPr>
        <w:t> </w:t>
      </w:r>
      <w:r>
        <w:rPr/>
        <w:t>(41.3%)</w:t>
      </w:r>
      <w:r>
        <w:rPr>
          <w:spacing w:val="35"/>
        </w:rPr>
        <w:t> </w:t>
      </w:r>
      <w:r>
        <w:rPr/>
        <w:t>females,</w:t>
      </w:r>
      <w:r>
        <w:rPr>
          <w:spacing w:val="38"/>
        </w:rPr>
        <w:t> </w:t>
      </w:r>
      <w:r>
        <w:rPr/>
        <w:t>were</w:t>
      </w:r>
      <w:r>
        <w:rPr>
          <w:spacing w:val="35"/>
        </w:rPr>
        <w:t> </w:t>
      </w:r>
      <w:r>
        <w:rPr/>
        <w:t>submitted</w:t>
      </w:r>
      <w:r>
        <w:rPr>
          <w:spacing w:val="36"/>
        </w:rPr>
        <w:t> </w:t>
      </w:r>
      <w:r>
        <w:rPr/>
        <w:t>for</w:t>
      </w:r>
    </w:p>
    <w:p>
      <w:pPr>
        <w:spacing w:after="0" w:line="276" w:lineRule="auto"/>
        <w:jc w:val="both"/>
        <w:sectPr>
          <w:footerReference w:type="even" r:id="rId10"/>
          <w:footerReference w:type="default" r:id="rId11"/>
          <w:pgSz w:w="11910" w:h="16840"/>
          <w:pgMar w:footer="748" w:header="722" w:top="1340" w:bottom="940" w:left="1220" w:right="1220"/>
          <w:cols w:num="2" w:equalWidth="0">
            <w:col w:w="4414" w:space="458"/>
            <w:col w:w="4598"/>
          </w:cols>
        </w:sectPr>
      </w:pPr>
    </w:p>
    <w:p>
      <w:pPr>
        <w:pStyle w:val="BodyText"/>
        <w:spacing w:line="276" w:lineRule="auto" w:before="80"/>
        <w:ind w:left="220" w:right="41"/>
        <w:jc w:val="both"/>
      </w:pPr>
      <w:r>
        <w:rPr/>
        <w:t>bacteriological investigation from September 2009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March</w:t>
      </w:r>
      <w:r>
        <w:rPr>
          <w:spacing w:val="1"/>
        </w:rPr>
        <w:t> </w:t>
      </w:r>
      <w:r>
        <w:rPr/>
        <w:t>2011.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age</w:t>
      </w:r>
      <w:r>
        <w:rPr>
          <w:spacing w:val="1"/>
        </w:rPr>
        <w:t> </w:t>
      </w:r>
      <w:r>
        <w:rPr/>
        <w:t>range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meningitis</w:t>
      </w:r>
      <w:r>
        <w:rPr>
          <w:spacing w:val="1"/>
        </w:rPr>
        <w:t> </w:t>
      </w:r>
      <w:r>
        <w:rPr/>
        <w:t>suspected individuals was from 1 day to 85 years</w:t>
      </w:r>
      <w:r>
        <w:rPr>
          <w:spacing w:val="1"/>
        </w:rPr>
        <w:t> </w:t>
      </w:r>
      <w:r>
        <w:rPr/>
        <w:t>with a median age of 4 years. When these patients</w:t>
      </w:r>
      <w:r>
        <w:rPr>
          <w:spacing w:val="1"/>
        </w:rPr>
        <w:t> </w:t>
      </w:r>
      <w:r>
        <w:rPr/>
        <w:t>are classified at different age groups 39.4%, 33.2%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27.4%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adults,</w:t>
      </w:r>
      <w:r>
        <w:rPr>
          <w:spacing w:val="1"/>
        </w:rPr>
        <w:t> </w:t>
      </w:r>
      <w:r>
        <w:rPr/>
        <w:t>infants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children</w:t>
      </w:r>
      <w:r>
        <w:rPr>
          <w:spacing w:val="-47"/>
        </w:rPr>
        <w:t> </w:t>
      </w:r>
      <w:r>
        <w:rPr/>
        <w:t>respectively.</w:t>
      </w:r>
      <w:r>
        <w:rPr>
          <w:spacing w:val="1"/>
        </w:rPr>
        <w:t> </w:t>
      </w:r>
      <w:r>
        <w:rPr/>
        <w:t>Bacterial</w:t>
      </w:r>
      <w:r>
        <w:rPr>
          <w:spacing w:val="1"/>
        </w:rPr>
        <w:t> </w:t>
      </w:r>
      <w:r>
        <w:rPr/>
        <w:t>pathogens</w:t>
      </w:r>
      <w:r>
        <w:rPr>
          <w:spacing w:val="1"/>
        </w:rPr>
        <w:t> </w:t>
      </w:r>
      <w:r>
        <w:rPr/>
        <w:t>were</w:t>
      </w:r>
      <w:r>
        <w:rPr>
          <w:spacing w:val="50"/>
        </w:rPr>
        <w:t> </w:t>
      </w:r>
      <w:r>
        <w:rPr/>
        <w:t>isolated</w:t>
      </w:r>
      <w:r>
        <w:rPr>
          <w:spacing w:val="1"/>
        </w:rPr>
        <w:t> </w:t>
      </w:r>
      <w:r>
        <w:rPr/>
        <w:t>from 75 patients showing an isolation rate of 4.3%.</w:t>
      </w:r>
      <w:r>
        <w:rPr>
          <w:spacing w:val="1"/>
        </w:rPr>
        <w:t> </w:t>
      </w:r>
      <w:r>
        <w:rPr/>
        <w:t>The</w:t>
      </w:r>
      <w:r>
        <w:rPr>
          <w:spacing w:val="18"/>
        </w:rPr>
        <w:t> </w:t>
      </w:r>
      <w:r>
        <w:rPr/>
        <w:t>isolation</w:t>
      </w:r>
      <w:r>
        <w:rPr>
          <w:spacing w:val="18"/>
        </w:rPr>
        <w:t> </w:t>
      </w:r>
      <w:r>
        <w:rPr/>
        <w:t>rate</w:t>
      </w:r>
      <w:r>
        <w:rPr>
          <w:spacing w:val="18"/>
        </w:rPr>
        <w:t> </w:t>
      </w:r>
      <w:r>
        <w:rPr/>
        <w:t>among</w:t>
      </w:r>
      <w:r>
        <w:rPr>
          <w:spacing w:val="20"/>
        </w:rPr>
        <w:t> </w:t>
      </w:r>
      <w:r>
        <w:rPr/>
        <w:t>males</w:t>
      </w:r>
      <w:r>
        <w:rPr>
          <w:spacing w:val="21"/>
        </w:rPr>
        <w:t> </w:t>
      </w:r>
      <w:r>
        <w:rPr/>
        <w:t>was</w:t>
      </w:r>
      <w:r>
        <w:rPr>
          <w:spacing w:val="18"/>
        </w:rPr>
        <w:t> </w:t>
      </w:r>
      <w:r>
        <w:rPr/>
        <w:t>3.7%</w:t>
      </w:r>
      <w:r>
        <w:rPr>
          <w:spacing w:val="19"/>
        </w:rPr>
        <w:t> </w:t>
      </w:r>
      <w:r>
        <w:rPr/>
        <w:t>and</w:t>
      </w:r>
      <w:r>
        <w:rPr>
          <w:spacing w:val="20"/>
        </w:rPr>
        <w:t> </w:t>
      </w:r>
      <w:r>
        <w:rPr/>
        <w:t>5.1</w:t>
      </w:r>
    </w:p>
    <w:p>
      <w:pPr>
        <w:pStyle w:val="BodyText"/>
        <w:spacing w:line="276" w:lineRule="auto" w:before="1"/>
        <w:ind w:left="220" w:right="38"/>
        <w:jc w:val="both"/>
      </w:pPr>
      <w:r>
        <w:rPr/>
        <w:t>% among females. The prevalence within an age</w:t>
      </w:r>
      <w:r>
        <w:rPr>
          <w:spacing w:val="1"/>
        </w:rPr>
        <w:t> </w:t>
      </w:r>
      <w:r>
        <w:rPr/>
        <w:t>group was higher for children (6.2%), followed by</w:t>
      </w:r>
      <w:r>
        <w:rPr>
          <w:spacing w:val="1"/>
        </w:rPr>
        <w:t> </w:t>
      </w:r>
      <w:r>
        <w:rPr/>
        <w:t>infant</w:t>
      </w:r>
      <w:r>
        <w:rPr>
          <w:spacing w:val="-1"/>
        </w:rPr>
        <w:t> </w:t>
      </w:r>
      <w:r>
        <w:rPr/>
        <w:t>(4.3%).</w:t>
      </w:r>
    </w:p>
    <w:p>
      <w:pPr>
        <w:spacing w:line="276" w:lineRule="auto" w:before="80"/>
        <w:ind w:left="220" w:right="217" w:firstLine="0"/>
        <w:jc w:val="both"/>
        <w:rPr>
          <w:sz w:val="20"/>
        </w:rPr>
      </w:pPr>
      <w:r>
        <w:rPr/>
        <w:br w:type="column"/>
      </w:r>
      <w:r>
        <w:rPr>
          <w:sz w:val="20"/>
        </w:rPr>
        <w:t>About</w:t>
      </w:r>
      <w:r>
        <w:rPr>
          <w:spacing w:val="1"/>
          <w:sz w:val="20"/>
        </w:rPr>
        <w:t> </w:t>
      </w:r>
      <w:r>
        <w:rPr>
          <w:sz w:val="20"/>
        </w:rPr>
        <w:t>60%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isolates</w:t>
      </w:r>
      <w:r>
        <w:rPr>
          <w:spacing w:val="1"/>
          <w:sz w:val="20"/>
        </w:rPr>
        <w:t> </w:t>
      </w:r>
      <w:r>
        <w:rPr>
          <w:sz w:val="20"/>
        </w:rPr>
        <w:t>were</w:t>
      </w:r>
      <w:r>
        <w:rPr>
          <w:spacing w:val="1"/>
          <w:sz w:val="20"/>
        </w:rPr>
        <w:t> </w:t>
      </w:r>
      <w:r>
        <w:rPr>
          <w:sz w:val="20"/>
        </w:rPr>
        <w:t>Gram</w:t>
      </w:r>
      <w:r>
        <w:rPr>
          <w:spacing w:val="1"/>
          <w:sz w:val="20"/>
        </w:rPr>
        <w:t> </w:t>
      </w:r>
      <w:r>
        <w:rPr>
          <w:sz w:val="20"/>
        </w:rPr>
        <w:t>negative</w:t>
      </w:r>
      <w:r>
        <w:rPr>
          <w:spacing w:val="1"/>
          <w:sz w:val="20"/>
        </w:rPr>
        <w:t> </w:t>
      </w:r>
      <w:r>
        <w:rPr>
          <w:sz w:val="20"/>
        </w:rPr>
        <w:t>organisms</w:t>
      </w:r>
      <w:r>
        <w:rPr>
          <w:spacing w:val="1"/>
          <w:sz w:val="20"/>
        </w:rPr>
        <w:t> </w:t>
      </w:r>
      <w:r>
        <w:rPr>
          <w:sz w:val="20"/>
        </w:rPr>
        <w:t>among</w:t>
      </w:r>
      <w:r>
        <w:rPr>
          <w:spacing w:val="1"/>
          <w:sz w:val="20"/>
        </w:rPr>
        <w:t> </w:t>
      </w:r>
      <w:r>
        <w:rPr>
          <w:sz w:val="20"/>
        </w:rPr>
        <w:t>which</w:t>
      </w:r>
      <w:r>
        <w:rPr>
          <w:spacing w:val="1"/>
          <w:sz w:val="20"/>
        </w:rPr>
        <w:t> </w:t>
      </w:r>
      <w:r>
        <w:rPr>
          <w:i/>
          <w:sz w:val="20"/>
        </w:rPr>
        <w:t>N.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meningitis</w:t>
      </w:r>
      <w:r>
        <w:rPr>
          <w:i/>
          <w:spacing w:val="1"/>
          <w:sz w:val="20"/>
        </w:rPr>
        <w:t> </w:t>
      </w:r>
      <w:r>
        <w:rPr>
          <w:sz w:val="20"/>
        </w:rPr>
        <w:t>was</w:t>
      </w:r>
      <w:r>
        <w:rPr>
          <w:spacing w:val="50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most frequent isolate (30.7%) followed by </w:t>
      </w:r>
      <w:r>
        <w:rPr>
          <w:i/>
          <w:sz w:val="20"/>
        </w:rPr>
        <w:t>E. coli</w:t>
      </w:r>
      <w:r>
        <w:rPr>
          <w:i/>
          <w:spacing w:val="1"/>
          <w:sz w:val="20"/>
        </w:rPr>
        <w:t> </w:t>
      </w:r>
      <w:r>
        <w:rPr>
          <w:sz w:val="20"/>
        </w:rPr>
        <w:t>(10.7%),</w:t>
      </w:r>
      <w:r>
        <w:rPr>
          <w:spacing w:val="1"/>
          <w:sz w:val="20"/>
        </w:rPr>
        <w:t> </w:t>
      </w:r>
      <w:r>
        <w:rPr>
          <w:i/>
          <w:sz w:val="20"/>
        </w:rPr>
        <w:t>H.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influenza</w:t>
      </w:r>
      <w:r>
        <w:rPr>
          <w:i/>
          <w:spacing w:val="1"/>
          <w:sz w:val="20"/>
        </w:rPr>
        <w:t> </w:t>
      </w:r>
      <w:r>
        <w:rPr>
          <w:sz w:val="20"/>
        </w:rPr>
        <w:t>(5.3%)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i/>
          <w:sz w:val="20"/>
        </w:rPr>
        <w:t>Salmonella</w:t>
      </w:r>
      <w:r>
        <w:rPr>
          <w:i/>
          <w:spacing w:val="1"/>
          <w:sz w:val="20"/>
        </w:rPr>
        <w:t> </w:t>
      </w:r>
      <w:r>
        <w:rPr>
          <w:sz w:val="20"/>
        </w:rPr>
        <w:t>species (4%). The remaining, 40% of the isolates</w:t>
      </w:r>
      <w:r>
        <w:rPr>
          <w:spacing w:val="1"/>
          <w:sz w:val="20"/>
        </w:rPr>
        <w:t> </w:t>
      </w:r>
      <w:r>
        <w:rPr>
          <w:sz w:val="20"/>
        </w:rPr>
        <w:t>were</w:t>
      </w:r>
      <w:r>
        <w:rPr>
          <w:spacing w:val="1"/>
          <w:sz w:val="20"/>
        </w:rPr>
        <w:t> </w:t>
      </w:r>
      <w:r>
        <w:rPr>
          <w:sz w:val="20"/>
        </w:rPr>
        <w:t>Gram</w:t>
      </w:r>
      <w:r>
        <w:rPr>
          <w:spacing w:val="1"/>
          <w:sz w:val="20"/>
        </w:rPr>
        <w:t> </w:t>
      </w:r>
      <w:r>
        <w:rPr>
          <w:sz w:val="20"/>
        </w:rPr>
        <w:t>positive</w:t>
      </w:r>
      <w:r>
        <w:rPr>
          <w:spacing w:val="1"/>
          <w:sz w:val="20"/>
        </w:rPr>
        <w:t> </w:t>
      </w:r>
      <w:r>
        <w:rPr>
          <w:sz w:val="20"/>
        </w:rPr>
        <w:t>bacteria</w:t>
      </w:r>
      <w:r>
        <w:rPr>
          <w:spacing w:val="1"/>
          <w:sz w:val="20"/>
        </w:rPr>
        <w:t> </w:t>
      </w:r>
      <w:r>
        <w:rPr>
          <w:sz w:val="20"/>
        </w:rPr>
        <w:t>which</w:t>
      </w:r>
      <w:r>
        <w:rPr>
          <w:spacing w:val="1"/>
          <w:sz w:val="20"/>
        </w:rPr>
        <w:t> </w:t>
      </w:r>
      <w:r>
        <w:rPr>
          <w:sz w:val="20"/>
        </w:rPr>
        <w:t>include</w:t>
      </w:r>
      <w:r>
        <w:rPr>
          <w:spacing w:val="1"/>
          <w:sz w:val="20"/>
        </w:rPr>
        <w:t> </w:t>
      </w:r>
      <w:r>
        <w:rPr>
          <w:i/>
          <w:sz w:val="20"/>
        </w:rPr>
        <w:t>S.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pneumonia</w:t>
      </w:r>
      <w:r>
        <w:rPr>
          <w:i/>
          <w:spacing w:val="1"/>
          <w:sz w:val="20"/>
        </w:rPr>
        <w:t> </w:t>
      </w:r>
      <w:r>
        <w:rPr>
          <w:sz w:val="20"/>
        </w:rPr>
        <w:t>(33.3%),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i/>
          <w:sz w:val="20"/>
        </w:rPr>
        <w:t>S.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aureus</w:t>
      </w:r>
      <w:r>
        <w:rPr>
          <w:i/>
          <w:spacing w:val="1"/>
          <w:sz w:val="20"/>
        </w:rPr>
        <w:t> </w:t>
      </w:r>
      <w:r>
        <w:rPr>
          <w:sz w:val="20"/>
        </w:rPr>
        <w:t>(5.3%).</w:t>
      </w:r>
      <w:r>
        <w:rPr>
          <w:spacing w:val="1"/>
          <w:sz w:val="20"/>
        </w:rPr>
        <w:t> </w:t>
      </w:r>
      <w:r>
        <w:rPr>
          <w:i/>
          <w:sz w:val="20"/>
        </w:rPr>
        <w:t>Acinetobactor</w:t>
      </w:r>
      <w:r>
        <w:rPr>
          <w:sz w:val="20"/>
        </w:rPr>
        <w:t>, </w:t>
      </w:r>
      <w:r>
        <w:rPr>
          <w:i/>
          <w:sz w:val="20"/>
        </w:rPr>
        <w:t>Citrobactor</w:t>
      </w:r>
      <w:r>
        <w:rPr>
          <w:sz w:val="20"/>
        </w:rPr>
        <w:t>, </w:t>
      </w:r>
      <w:r>
        <w:rPr>
          <w:i/>
          <w:sz w:val="20"/>
        </w:rPr>
        <w:t>Morganella Morgany,</w:t>
      </w:r>
      <w:r>
        <w:rPr>
          <w:i/>
          <w:spacing w:val="1"/>
          <w:sz w:val="20"/>
        </w:rPr>
        <w:t> </w:t>
      </w:r>
      <w:r>
        <w:rPr>
          <w:sz w:val="20"/>
        </w:rPr>
        <w:t>viridian streptococci</w:t>
      </w:r>
      <w:r>
        <w:rPr>
          <w:i/>
          <w:sz w:val="20"/>
        </w:rPr>
        <w:t>, Proteus species</w:t>
      </w:r>
      <w:r>
        <w:rPr>
          <w:sz w:val="20"/>
        </w:rPr>
        <w:t>, </w:t>
      </w:r>
      <w:r>
        <w:rPr>
          <w:i/>
          <w:sz w:val="20"/>
        </w:rPr>
        <w:t>Providencia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spicies</w:t>
      </w:r>
      <w:r>
        <w:rPr>
          <w:i/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i/>
          <w:sz w:val="20"/>
        </w:rPr>
        <w:t>Pseudomonas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species</w:t>
      </w:r>
      <w:r>
        <w:rPr>
          <w:i/>
          <w:spacing w:val="51"/>
          <w:sz w:val="20"/>
        </w:rPr>
        <w:t> </w:t>
      </w:r>
      <w:r>
        <w:rPr>
          <w:sz w:val="20"/>
        </w:rPr>
        <w:t>together</w:t>
      </w:r>
      <w:r>
        <w:rPr>
          <w:spacing w:val="1"/>
          <w:sz w:val="20"/>
        </w:rPr>
        <w:t> </w:t>
      </w:r>
      <w:r>
        <w:rPr>
          <w:sz w:val="20"/>
        </w:rPr>
        <w:t>comprise</w:t>
      </w:r>
      <w:r>
        <w:rPr>
          <w:spacing w:val="-1"/>
          <w:sz w:val="20"/>
        </w:rPr>
        <w:t> </w:t>
      </w:r>
      <w:r>
        <w:rPr>
          <w:sz w:val="20"/>
        </w:rPr>
        <w:t>10.6% of</w:t>
      </w:r>
      <w:r>
        <w:rPr>
          <w:spacing w:val="-1"/>
          <w:sz w:val="20"/>
        </w:rPr>
        <w:t> </w:t>
      </w:r>
      <w:r>
        <w:rPr>
          <w:sz w:val="20"/>
        </w:rPr>
        <w:t>the isolates.</w:t>
      </w:r>
    </w:p>
    <w:p>
      <w:pPr>
        <w:spacing w:after="0" w:line="276" w:lineRule="auto"/>
        <w:jc w:val="both"/>
        <w:rPr>
          <w:sz w:val="20"/>
        </w:rPr>
        <w:sectPr>
          <w:headerReference w:type="default" r:id="rId12"/>
          <w:headerReference w:type="even" r:id="rId13"/>
          <w:pgSz w:w="11910" w:h="16840"/>
          <w:pgMar w:header="722" w:footer="748" w:top="1340" w:bottom="940" w:left="1220" w:right="1220"/>
          <w:pgNumType w:start="43"/>
          <w:cols w:num="2" w:equalWidth="0">
            <w:col w:w="4416" w:space="456"/>
            <w:col w:w="4598"/>
          </w:cols>
        </w:sectPr>
      </w:pPr>
    </w:p>
    <w:p>
      <w:pPr>
        <w:pStyle w:val="BodyText"/>
        <w:spacing w:before="8"/>
        <w:rPr>
          <w:sz w:val="8"/>
        </w:rPr>
      </w:pPr>
    </w:p>
    <w:p>
      <w:pPr>
        <w:pStyle w:val="Heading3"/>
        <w:spacing w:line="276" w:lineRule="auto" w:before="91"/>
        <w:ind w:left="2219" w:right="771" w:hanging="836"/>
        <w:jc w:val="left"/>
      </w:pPr>
      <w:r>
        <w:rPr/>
        <w:t>Table</w:t>
      </w:r>
      <w:r>
        <w:rPr>
          <w:spacing w:val="-3"/>
        </w:rPr>
        <w:t> </w:t>
      </w:r>
      <w:r>
        <w:rPr/>
        <w:t>No.</w:t>
      </w:r>
      <w:r>
        <w:rPr>
          <w:spacing w:val="-1"/>
        </w:rPr>
        <w:t> </w:t>
      </w:r>
      <w:r>
        <w:rPr/>
        <w:t>01:</w:t>
      </w:r>
      <w:r>
        <w:rPr>
          <w:spacing w:val="-1"/>
        </w:rPr>
        <w:t> </w:t>
      </w:r>
      <w:r>
        <w:rPr/>
        <w:t>Sex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age</w:t>
      </w:r>
      <w:r>
        <w:rPr>
          <w:spacing w:val="-2"/>
        </w:rPr>
        <w:t> </w:t>
      </w:r>
      <w:r>
        <w:rPr/>
        <w:t>distribution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common</w:t>
      </w:r>
      <w:r>
        <w:rPr>
          <w:spacing w:val="-3"/>
        </w:rPr>
        <w:t> </w:t>
      </w:r>
      <w:r>
        <w:rPr/>
        <w:t>bacterial</w:t>
      </w:r>
      <w:r>
        <w:rPr>
          <w:spacing w:val="-2"/>
        </w:rPr>
        <w:t> </w:t>
      </w:r>
      <w:r>
        <w:rPr/>
        <w:t>isolates</w:t>
      </w:r>
      <w:r>
        <w:rPr>
          <w:spacing w:val="-3"/>
        </w:rPr>
        <w:t> </w:t>
      </w:r>
      <w:r>
        <w:rPr/>
        <w:t>from</w:t>
      </w:r>
      <w:r>
        <w:rPr>
          <w:spacing w:val="-7"/>
        </w:rPr>
        <w:t> </w:t>
      </w:r>
      <w:r>
        <w:rPr/>
        <w:t>CSF,</w:t>
      </w:r>
      <w:r>
        <w:rPr>
          <w:spacing w:val="-47"/>
        </w:rPr>
        <w:t> </w:t>
      </w:r>
      <w:r>
        <w:rPr/>
        <w:t>Gondar</w:t>
      </w:r>
      <w:r>
        <w:rPr>
          <w:spacing w:val="-1"/>
        </w:rPr>
        <w:t> </w:t>
      </w:r>
      <w:r>
        <w:rPr/>
        <w:t>University Hospital</w:t>
      </w:r>
      <w:r>
        <w:rPr>
          <w:spacing w:val="-1"/>
        </w:rPr>
        <w:t> </w:t>
      </w:r>
      <w:r>
        <w:rPr/>
        <w:t>September</w:t>
      </w:r>
      <w:r>
        <w:rPr>
          <w:spacing w:val="-1"/>
        </w:rPr>
        <w:t> </w:t>
      </w:r>
      <w:r>
        <w:rPr/>
        <w:t>2009</w:t>
      </w:r>
      <w:r>
        <w:rPr>
          <w:spacing w:val="3"/>
        </w:rPr>
        <w:t> </w:t>
      </w:r>
      <w:r>
        <w:rPr/>
        <w:t>–</w:t>
      </w:r>
      <w:r>
        <w:rPr>
          <w:spacing w:val="-2"/>
        </w:rPr>
        <w:t> </w:t>
      </w:r>
      <w:r>
        <w:rPr/>
        <w:t>March</w:t>
      </w:r>
      <w:r>
        <w:rPr>
          <w:spacing w:val="-1"/>
        </w:rPr>
        <w:t> </w:t>
      </w:r>
      <w:r>
        <w:rPr/>
        <w:t>2011</w:t>
      </w:r>
    </w:p>
    <w:p>
      <w:pPr>
        <w:pStyle w:val="BodyText"/>
        <w:spacing w:line="20" w:lineRule="exact"/>
        <w:ind w:left="1163"/>
        <w:rPr>
          <w:sz w:val="2"/>
        </w:rPr>
      </w:pPr>
      <w:r>
        <w:rPr>
          <w:sz w:val="2"/>
        </w:rPr>
        <w:pict>
          <v:group style="width:357pt;height:.4pt;mso-position-horizontal-relative:char;mso-position-vertical-relative:line" coordorigin="0,0" coordsize="7140,8">
            <v:shape style="position:absolute;left:-1;top:0;width:7140;height:8" coordorigin="0,0" coordsize="7140,8" path="m1898,0l0,0,0,7,1898,7,1898,0xm1908,0l1901,0,1901,7,1908,7,1908,0xm2878,0l1910,0,1910,7,2878,7,2878,0xm2887,0l2880,0,2880,7,2887,7,2887,0xm7140,0l2890,0,2890,7,7140,7,7140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spacing w:before="108"/>
        <w:ind w:left="4667" w:right="0" w:firstLine="0"/>
        <w:jc w:val="left"/>
        <w:rPr>
          <w:b/>
          <w:sz w:val="18"/>
        </w:rPr>
      </w:pPr>
      <w:r>
        <w:rPr>
          <w:b/>
          <w:sz w:val="18"/>
        </w:rPr>
        <w:t>Patient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category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and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isolates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frequency</w:t>
      </w:r>
    </w:p>
    <w:p>
      <w:pPr>
        <w:spacing w:after="0"/>
        <w:jc w:val="left"/>
        <w:rPr>
          <w:sz w:val="18"/>
        </w:rPr>
        <w:sectPr>
          <w:type w:val="continuous"/>
          <w:pgSz w:w="11910" w:h="16840"/>
          <w:pgMar w:top="1340" w:bottom="280" w:left="1220" w:right="1220"/>
        </w:sectPr>
      </w:pPr>
    </w:p>
    <w:p>
      <w:pPr>
        <w:tabs>
          <w:tab w:pos="3234" w:val="left" w:leader="none"/>
        </w:tabs>
        <w:spacing w:before="122"/>
        <w:ind w:left="1693" w:right="0" w:firstLine="0"/>
        <w:jc w:val="left"/>
        <w:rPr>
          <w:b/>
          <w:sz w:val="18"/>
        </w:rPr>
      </w:pPr>
      <w:r>
        <w:rPr>
          <w:b/>
          <w:sz w:val="18"/>
        </w:rPr>
        <w:t>Organisms</w:t>
        <w:tab/>
      </w:r>
      <w:r>
        <w:rPr>
          <w:b/>
          <w:spacing w:val="-2"/>
          <w:position w:val="10"/>
          <w:sz w:val="18"/>
        </w:rPr>
        <w:t>Number</w:t>
      </w:r>
    </w:p>
    <w:p>
      <w:pPr>
        <w:tabs>
          <w:tab w:pos="2954" w:val="left" w:leader="none"/>
        </w:tabs>
        <w:spacing w:before="119"/>
        <w:ind w:left="840" w:right="0" w:firstLine="0"/>
        <w:jc w:val="left"/>
        <w:rPr>
          <w:b/>
          <w:sz w:val="18"/>
        </w:rPr>
      </w:pPr>
      <w:r>
        <w:rPr/>
        <w:br w:type="column"/>
      </w:r>
      <w:r>
        <w:rPr>
          <w:b/>
          <w:sz w:val="18"/>
        </w:rPr>
        <w:t>Sex</w:t>
        <w:tab/>
        <w:t>Age</w:t>
      </w:r>
    </w:p>
    <w:p>
      <w:pPr>
        <w:spacing w:after="0"/>
        <w:jc w:val="left"/>
        <w:rPr>
          <w:sz w:val="18"/>
        </w:rPr>
        <w:sectPr>
          <w:type w:val="continuous"/>
          <w:pgSz w:w="11910" w:h="16840"/>
          <w:pgMar w:top="1340" w:bottom="280" w:left="1220" w:right="1220"/>
          <w:cols w:num="2" w:equalWidth="0">
            <w:col w:w="3874" w:space="40"/>
            <w:col w:w="5556"/>
          </w:cols>
        </w:sectPr>
      </w:pPr>
    </w:p>
    <w:p>
      <w:pPr>
        <w:pStyle w:val="BodyText"/>
        <w:spacing w:before="3"/>
        <w:rPr>
          <w:b/>
          <w:sz w:val="2"/>
        </w:rPr>
      </w:pPr>
    </w:p>
    <w:tbl>
      <w:tblPr>
        <w:tblW w:w="0" w:type="auto"/>
        <w:jc w:val="left"/>
        <w:tblInd w:w="11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16"/>
        <w:gridCol w:w="980"/>
        <w:gridCol w:w="846"/>
        <w:gridCol w:w="846"/>
        <w:gridCol w:w="832"/>
        <w:gridCol w:w="905"/>
        <w:gridCol w:w="830"/>
      </w:tblGrid>
      <w:tr>
        <w:trPr>
          <w:trHeight w:val="262" w:hRule="atLeast"/>
        </w:trPr>
        <w:tc>
          <w:tcPr>
            <w:tcW w:w="3742" w:type="dxa"/>
            <w:gridSpan w:val="3"/>
          </w:tcPr>
          <w:p>
            <w:pPr>
              <w:pStyle w:val="TableParagraph"/>
              <w:tabs>
                <w:tab w:pos="3122" w:val="left" w:leader="none"/>
              </w:tabs>
              <w:spacing w:line="228" w:lineRule="auto"/>
              <w:ind w:left="2255"/>
              <w:rPr>
                <w:b/>
                <w:sz w:val="18"/>
              </w:rPr>
            </w:pPr>
            <w:r>
              <w:rPr>
                <w:b/>
                <w:position w:val="12"/>
                <w:sz w:val="18"/>
              </w:rPr>
              <w:t>(%)</w:t>
              <w:tab/>
            </w:r>
            <w:r>
              <w:rPr>
                <w:b/>
                <w:sz w:val="18"/>
              </w:rPr>
              <w:t>Male</w:t>
            </w:r>
          </w:p>
        </w:tc>
        <w:tc>
          <w:tcPr>
            <w:tcW w:w="846" w:type="dxa"/>
          </w:tcPr>
          <w:p>
            <w:pPr>
              <w:pStyle w:val="TableParagraph"/>
              <w:spacing w:line="199" w:lineRule="exact"/>
              <w:ind w:left="143"/>
              <w:rPr>
                <w:b/>
                <w:sz w:val="18"/>
              </w:rPr>
            </w:pPr>
            <w:r>
              <w:rPr>
                <w:b/>
                <w:sz w:val="18"/>
              </w:rPr>
              <w:t>Female</w:t>
            </w:r>
          </w:p>
        </w:tc>
        <w:tc>
          <w:tcPr>
            <w:tcW w:w="832" w:type="dxa"/>
          </w:tcPr>
          <w:p>
            <w:pPr>
              <w:pStyle w:val="TableParagraph"/>
              <w:spacing w:line="199" w:lineRule="exact"/>
              <w:ind w:left="137"/>
              <w:rPr>
                <w:b/>
                <w:sz w:val="18"/>
              </w:rPr>
            </w:pPr>
            <w:r>
              <w:rPr>
                <w:b/>
                <w:sz w:val="18"/>
              </w:rPr>
              <w:t>Infants</w:t>
            </w:r>
          </w:p>
        </w:tc>
        <w:tc>
          <w:tcPr>
            <w:tcW w:w="905" w:type="dxa"/>
          </w:tcPr>
          <w:p>
            <w:pPr>
              <w:pStyle w:val="TableParagraph"/>
              <w:spacing w:line="19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Children</w:t>
            </w:r>
          </w:p>
        </w:tc>
        <w:tc>
          <w:tcPr>
            <w:tcW w:w="830" w:type="dxa"/>
          </w:tcPr>
          <w:p>
            <w:pPr>
              <w:pStyle w:val="TableParagraph"/>
              <w:spacing w:line="199" w:lineRule="exact"/>
              <w:ind w:left="157"/>
              <w:rPr>
                <w:b/>
                <w:sz w:val="18"/>
              </w:rPr>
            </w:pPr>
            <w:r>
              <w:rPr>
                <w:b/>
                <w:sz w:val="18"/>
              </w:rPr>
              <w:t>Adults</w:t>
            </w:r>
          </w:p>
        </w:tc>
      </w:tr>
      <w:tr>
        <w:trPr>
          <w:trHeight w:val="206" w:hRule="atLeast"/>
        </w:trPr>
        <w:tc>
          <w:tcPr>
            <w:tcW w:w="3742" w:type="dxa"/>
            <w:gridSpan w:val="3"/>
            <w:tcBorders>
              <w:bottom w:val="single" w:sz="4" w:space="0" w:color="000000"/>
            </w:tcBorders>
          </w:tcPr>
          <w:p>
            <w:pPr>
              <w:pStyle w:val="TableParagraph"/>
              <w:spacing w:line="185" w:lineRule="exact" w:before="2"/>
              <w:ind w:left="0" w:right="19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N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(%)</w:t>
            </w:r>
          </w:p>
        </w:tc>
        <w:tc>
          <w:tcPr>
            <w:tcW w:w="84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85" w:lineRule="exact" w:before="2"/>
              <w:ind w:left="184"/>
              <w:rPr>
                <w:b/>
                <w:sz w:val="18"/>
              </w:rPr>
            </w:pPr>
            <w:r>
              <w:rPr>
                <w:b/>
                <w:sz w:val="18"/>
              </w:rPr>
              <w:t>N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(%)</w:t>
            </w:r>
          </w:p>
        </w:tc>
        <w:tc>
          <w:tcPr>
            <w:tcW w:w="83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85" w:lineRule="exact" w:before="2"/>
              <w:ind w:left="175"/>
              <w:rPr>
                <w:b/>
                <w:sz w:val="18"/>
              </w:rPr>
            </w:pPr>
            <w:r>
              <w:rPr>
                <w:b/>
                <w:sz w:val="18"/>
              </w:rPr>
              <w:t>N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(%)</w:t>
            </w:r>
          </w:p>
        </w:tc>
        <w:tc>
          <w:tcPr>
            <w:tcW w:w="90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85" w:lineRule="exact" w:before="2"/>
              <w:ind w:left="215"/>
              <w:rPr>
                <w:b/>
                <w:sz w:val="18"/>
              </w:rPr>
            </w:pPr>
            <w:r>
              <w:rPr>
                <w:b/>
                <w:sz w:val="18"/>
              </w:rPr>
              <w:t>N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(%)</w:t>
            </w:r>
          </w:p>
        </w:tc>
        <w:tc>
          <w:tcPr>
            <w:tcW w:w="83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85" w:lineRule="exact" w:before="2"/>
              <w:ind w:left="176"/>
              <w:rPr>
                <w:b/>
                <w:sz w:val="18"/>
              </w:rPr>
            </w:pPr>
            <w:r>
              <w:rPr>
                <w:b/>
                <w:sz w:val="18"/>
              </w:rPr>
              <w:t>N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(%)</w:t>
            </w:r>
          </w:p>
        </w:tc>
      </w:tr>
      <w:tr>
        <w:trPr>
          <w:trHeight w:val="206" w:hRule="atLeast"/>
        </w:trPr>
        <w:tc>
          <w:tcPr>
            <w:tcW w:w="1916" w:type="dxa"/>
          </w:tcPr>
          <w:p>
            <w:pPr>
              <w:pStyle w:val="TableParagraph"/>
              <w:spacing w:line="183" w:lineRule="exact"/>
              <w:ind w:left="122"/>
              <w:rPr>
                <w:i/>
                <w:sz w:val="18"/>
              </w:rPr>
            </w:pPr>
            <w:r>
              <w:rPr>
                <w:i/>
                <w:sz w:val="18"/>
              </w:rPr>
              <w:t>S</w:t>
            </w:r>
            <w:r>
              <w:rPr>
                <w:i/>
                <w:spacing w:val="-2"/>
                <w:sz w:val="18"/>
              </w:rPr>
              <w:t> </w:t>
            </w:r>
            <w:r>
              <w:rPr>
                <w:i/>
                <w:sz w:val="18"/>
              </w:rPr>
              <w:t>.pneumonia</w:t>
            </w:r>
          </w:p>
        </w:tc>
        <w:tc>
          <w:tcPr>
            <w:tcW w:w="980" w:type="dxa"/>
          </w:tcPr>
          <w:p>
            <w:pPr>
              <w:pStyle w:val="TableParagraph"/>
              <w:spacing w:line="183" w:lineRule="exact"/>
              <w:rPr>
                <w:sz w:val="18"/>
              </w:rPr>
            </w:pPr>
            <w:r>
              <w:rPr>
                <w:sz w:val="18"/>
              </w:rPr>
              <w:t>25(32.8%)</w:t>
            </w:r>
          </w:p>
        </w:tc>
        <w:tc>
          <w:tcPr>
            <w:tcW w:w="846" w:type="dxa"/>
          </w:tcPr>
          <w:p>
            <w:pPr>
              <w:pStyle w:val="TableParagraph"/>
              <w:spacing w:line="183" w:lineRule="exact"/>
              <w:ind w:left="106"/>
              <w:rPr>
                <w:sz w:val="18"/>
              </w:rPr>
            </w:pPr>
            <w:r>
              <w:rPr>
                <w:sz w:val="18"/>
              </w:rPr>
              <w:t>13(34.2)</w:t>
            </w:r>
          </w:p>
        </w:tc>
        <w:tc>
          <w:tcPr>
            <w:tcW w:w="846" w:type="dxa"/>
          </w:tcPr>
          <w:p>
            <w:pPr>
              <w:pStyle w:val="TableParagraph"/>
              <w:spacing w:line="183" w:lineRule="exact"/>
              <w:rPr>
                <w:sz w:val="18"/>
              </w:rPr>
            </w:pPr>
            <w:r>
              <w:rPr>
                <w:sz w:val="18"/>
              </w:rPr>
              <w:t>12(31.6)</w:t>
            </w:r>
          </w:p>
        </w:tc>
        <w:tc>
          <w:tcPr>
            <w:tcW w:w="832" w:type="dxa"/>
          </w:tcPr>
          <w:p>
            <w:pPr>
              <w:pStyle w:val="TableParagraph"/>
              <w:spacing w:line="183" w:lineRule="exact"/>
              <w:ind w:left="106"/>
              <w:rPr>
                <w:sz w:val="18"/>
              </w:rPr>
            </w:pPr>
            <w:r>
              <w:rPr>
                <w:sz w:val="18"/>
              </w:rPr>
              <w:t>6(24%)</w:t>
            </w:r>
          </w:p>
        </w:tc>
        <w:tc>
          <w:tcPr>
            <w:tcW w:w="905" w:type="dxa"/>
          </w:tcPr>
          <w:p>
            <w:pPr>
              <w:pStyle w:val="TableParagraph"/>
              <w:spacing w:line="183" w:lineRule="exact"/>
              <w:rPr>
                <w:sz w:val="18"/>
              </w:rPr>
            </w:pPr>
            <w:r>
              <w:rPr>
                <w:sz w:val="18"/>
              </w:rPr>
              <w:t>10(33.3)</w:t>
            </w:r>
          </w:p>
        </w:tc>
        <w:tc>
          <w:tcPr>
            <w:tcW w:w="830" w:type="dxa"/>
          </w:tcPr>
          <w:p>
            <w:pPr>
              <w:pStyle w:val="TableParagraph"/>
              <w:spacing w:line="183" w:lineRule="exact"/>
              <w:ind w:left="106"/>
              <w:rPr>
                <w:sz w:val="18"/>
              </w:rPr>
            </w:pPr>
            <w:r>
              <w:rPr>
                <w:sz w:val="18"/>
              </w:rPr>
              <w:t>9(42.8)</w:t>
            </w:r>
          </w:p>
        </w:tc>
      </w:tr>
      <w:tr>
        <w:trPr>
          <w:trHeight w:val="207" w:hRule="atLeast"/>
        </w:trPr>
        <w:tc>
          <w:tcPr>
            <w:tcW w:w="1916" w:type="dxa"/>
          </w:tcPr>
          <w:p>
            <w:pPr>
              <w:pStyle w:val="TableParagraph"/>
              <w:spacing w:line="188" w:lineRule="exact"/>
              <w:ind w:left="122"/>
              <w:rPr>
                <w:i/>
                <w:sz w:val="18"/>
              </w:rPr>
            </w:pPr>
            <w:r>
              <w:rPr>
                <w:i/>
                <w:sz w:val="18"/>
              </w:rPr>
              <w:t>N.</w:t>
            </w:r>
            <w:r>
              <w:rPr>
                <w:i/>
                <w:spacing w:val="-3"/>
                <w:sz w:val="18"/>
              </w:rPr>
              <w:t> </w:t>
            </w:r>
            <w:r>
              <w:rPr>
                <w:i/>
                <w:sz w:val="18"/>
              </w:rPr>
              <w:t>meningitides</w:t>
            </w:r>
          </w:p>
        </w:tc>
        <w:tc>
          <w:tcPr>
            <w:tcW w:w="980" w:type="dxa"/>
          </w:tcPr>
          <w:p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>23(30.2%)</w:t>
            </w:r>
          </w:p>
        </w:tc>
        <w:tc>
          <w:tcPr>
            <w:tcW w:w="846" w:type="dxa"/>
          </w:tcPr>
          <w:p>
            <w:pPr>
              <w:pStyle w:val="TableParagraph"/>
              <w:spacing w:line="188" w:lineRule="exact"/>
              <w:ind w:left="106"/>
              <w:rPr>
                <w:sz w:val="18"/>
              </w:rPr>
            </w:pPr>
            <w:r>
              <w:rPr>
                <w:sz w:val="18"/>
              </w:rPr>
              <w:t>13(34.2)</w:t>
            </w:r>
          </w:p>
        </w:tc>
        <w:tc>
          <w:tcPr>
            <w:tcW w:w="846" w:type="dxa"/>
          </w:tcPr>
          <w:p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>10(26.3)</w:t>
            </w:r>
          </w:p>
        </w:tc>
        <w:tc>
          <w:tcPr>
            <w:tcW w:w="832" w:type="dxa"/>
          </w:tcPr>
          <w:p>
            <w:pPr>
              <w:pStyle w:val="TableParagraph"/>
              <w:spacing w:line="188" w:lineRule="exact"/>
              <w:ind w:left="106"/>
              <w:rPr>
                <w:sz w:val="18"/>
              </w:rPr>
            </w:pPr>
            <w:r>
              <w:rPr>
                <w:sz w:val="18"/>
              </w:rPr>
              <w:t>4(16)</w:t>
            </w:r>
          </w:p>
        </w:tc>
        <w:tc>
          <w:tcPr>
            <w:tcW w:w="905" w:type="dxa"/>
          </w:tcPr>
          <w:p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>17(56.7)</w:t>
            </w:r>
          </w:p>
        </w:tc>
        <w:tc>
          <w:tcPr>
            <w:tcW w:w="830" w:type="dxa"/>
          </w:tcPr>
          <w:p>
            <w:pPr>
              <w:pStyle w:val="TableParagraph"/>
              <w:spacing w:line="188" w:lineRule="exact"/>
              <w:ind w:left="106"/>
              <w:rPr>
                <w:sz w:val="18"/>
              </w:rPr>
            </w:pPr>
            <w:r>
              <w:rPr>
                <w:sz w:val="18"/>
              </w:rPr>
              <w:t>2(9.5)</w:t>
            </w:r>
          </w:p>
        </w:tc>
      </w:tr>
      <w:tr>
        <w:trPr>
          <w:trHeight w:val="207" w:hRule="atLeast"/>
        </w:trPr>
        <w:tc>
          <w:tcPr>
            <w:tcW w:w="1916" w:type="dxa"/>
          </w:tcPr>
          <w:p>
            <w:pPr>
              <w:pStyle w:val="TableParagraph"/>
              <w:spacing w:line="188" w:lineRule="exact"/>
              <w:ind w:left="122"/>
              <w:rPr>
                <w:i/>
                <w:sz w:val="18"/>
              </w:rPr>
            </w:pPr>
            <w:r>
              <w:rPr>
                <w:i/>
                <w:sz w:val="18"/>
              </w:rPr>
              <w:t>E.Coli</w:t>
            </w:r>
          </w:p>
        </w:tc>
        <w:tc>
          <w:tcPr>
            <w:tcW w:w="980" w:type="dxa"/>
          </w:tcPr>
          <w:p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>8(10.5%)</w:t>
            </w:r>
          </w:p>
        </w:tc>
        <w:tc>
          <w:tcPr>
            <w:tcW w:w="846" w:type="dxa"/>
          </w:tcPr>
          <w:p>
            <w:pPr>
              <w:pStyle w:val="TableParagraph"/>
              <w:spacing w:line="188" w:lineRule="exact"/>
              <w:ind w:left="106"/>
              <w:rPr>
                <w:sz w:val="18"/>
              </w:rPr>
            </w:pPr>
            <w:r>
              <w:rPr>
                <w:sz w:val="18"/>
              </w:rPr>
              <w:t>2(5.3)</w:t>
            </w:r>
          </w:p>
        </w:tc>
        <w:tc>
          <w:tcPr>
            <w:tcW w:w="846" w:type="dxa"/>
          </w:tcPr>
          <w:p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>6(15.8)</w:t>
            </w:r>
          </w:p>
        </w:tc>
        <w:tc>
          <w:tcPr>
            <w:tcW w:w="832" w:type="dxa"/>
          </w:tcPr>
          <w:p>
            <w:pPr>
              <w:pStyle w:val="TableParagraph"/>
              <w:spacing w:line="188" w:lineRule="exact"/>
              <w:ind w:left="106"/>
              <w:rPr>
                <w:sz w:val="18"/>
              </w:rPr>
            </w:pPr>
            <w:r>
              <w:rPr>
                <w:sz w:val="18"/>
              </w:rPr>
              <w:t>2(8)</w:t>
            </w:r>
          </w:p>
        </w:tc>
        <w:tc>
          <w:tcPr>
            <w:tcW w:w="905" w:type="dxa"/>
          </w:tcPr>
          <w:p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  <w:tc>
          <w:tcPr>
            <w:tcW w:w="830" w:type="dxa"/>
          </w:tcPr>
          <w:p>
            <w:pPr>
              <w:pStyle w:val="TableParagraph"/>
              <w:spacing w:line="188" w:lineRule="exact"/>
              <w:ind w:left="106"/>
              <w:rPr>
                <w:sz w:val="18"/>
              </w:rPr>
            </w:pPr>
            <w:r>
              <w:rPr>
                <w:sz w:val="18"/>
              </w:rPr>
              <w:t>6(28.6)</w:t>
            </w:r>
          </w:p>
        </w:tc>
      </w:tr>
      <w:tr>
        <w:trPr>
          <w:trHeight w:val="206" w:hRule="atLeast"/>
        </w:trPr>
        <w:tc>
          <w:tcPr>
            <w:tcW w:w="1916" w:type="dxa"/>
          </w:tcPr>
          <w:p>
            <w:pPr>
              <w:pStyle w:val="TableParagraph"/>
              <w:spacing w:line="186" w:lineRule="exact"/>
              <w:ind w:left="122"/>
              <w:rPr>
                <w:i/>
                <w:sz w:val="18"/>
              </w:rPr>
            </w:pPr>
            <w:r>
              <w:rPr>
                <w:i/>
                <w:sz w:val="18"/>
              </w:rPr>
              <w:t>Salmonella</w:t>
            </w:r>
            <w:r>
              <w:rPr>
                <w:i/>
                <w:spacing w:val="-2"/>
                <w:sz w:val="18"/>
              </w:rPr>
              <w:t> </w:t>
            </w:r>
            <w:r>
              <w:rPr>
                <w:i/>
                <w:sz w:val="18"/>
              </w:rPr>
              <w:t>Specious</w:t>
            </w:r>
          </w:p>
        </w:tc>
        <w:tc>
          <w:tcPr>
            <w:tcW w:w="980" w:type="dxa"/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3(4.0%)</w:t>
            </w:r>
          </w:p>
        </w:tc>
        <w:tc>
          <w:tcPr>
            <w:tcW w:w="846" w:type="dxa"/>
          </w:tcPr>
          <w:p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2(5.3)</w:t>
            </w:r>
          </w:p>
        </w:tc>
        <w:tc>
          <w:tcPr>
            <w:tcW w:w="846" w:type="dxa"/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1(2.6)</w:t>
            </w:r>
          </w:p>
        </w:tc>
        <w:tc>
          <w:tcPr>
            <w:tcW w:w="832" w:type="dxa"/>
          </w:tcPr>
          <w:p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2(8)</w:t>
            </w:r>
          </w:p>
        </w:tc>
        <w:tc>
          <w:tcPr>
            <w:tcW w:w="905" w:type="dxa"/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1(3.3)</w:t>
            </w:r>
          </w:p>
        </w:tc>
        <w:tc>
          <w:tcPr>
            <w:tcW w:w="830" w:type="dxa"/>
          </w:tcPr>
          <w:p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</w:tr>
      <w:tr>
        <w:trPr>
          <w:trHeight w:val="206" w:hRule="atLeast"/>
        </w:trPr>
        <w:tc>
          <w:tcPr>
            <w:tcW w:w="1916" w:type="dxa"/>
          </w:tcPr>
          <w:p>
            <w:pPr>
              <w:pStyle w:val="TableParagraph"/>
              <w:spacing w:line="186" w:lineRule="exact"/>
              <w:ind w:left="122"/>
              <w:rPr>
                <w:i/>
                <w:sz w:val="18"/>
              </w:rPr>
            </w:pPr>
            <w:r>
              <w:rPr>
                <w:i/>
                <w:sz w:val="18"/>
              </w:rPr>
              <w:t>S. aurous</w:t>
            </w:r>
          </w:p>
        </w:tc>
        <w:tc>
          <w:tcPr>
            <w:tcW w:w="980" w:type="dxa"/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4(5.3%)</w:t>
            </w:r>
          </w:p>
        </w:tc>
        <w:tc>
          <w:tcPr>
            <w:tcW w:w="846" w:type="dxa"/>
          </w:tcPr>
          <w:p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3(7.9)</w:t>
            </w:r>
          </w:p>
        </w:tc>
        <w:tc>
          <w:tcPr>
            <w:tcW w:w="846" w:type="dxa"/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1(2.6)</w:t>
            </w:r>
          </w:p>
        </w:tc>
        <w:tc>
          <w:tcPr>
            <w:tcW w:w="832" w:type="dxa"/>
          </w:tcPr>
          <w:p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1(4)</w:t>
            </w:r>
          </w:p>
        </w:tc>
        <w:tc>
          <w:tcPr>
            <w:tcW w:w="905" w:type="dxa"/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1(3.3)</w:t>
            </w:r>
          </w:p>
        </w:tc>
        <w:tc>
          <w:tcPr>
            <w:tcW w:w="830" w:type="dxa"/>
          </w:tcPr>
          <w:p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2(9.5)</w:t>
            </w:r>
          </w:p>
        </w:tc>
      </w:tr>
      <w:tr>
        <w:trPr>
          <w:trHeight w:val="207" w:hRule="atLeast"/>
        </w:trPr>
        <w:tc>
          <w:tcPr>
            <w:tcW w:w="1916" w:type="dxa"/>
          </w:tcPr>
          <w:p>
            <w:pPr>
              <w:pStyle w:val="TableParagraph"/>
              <w:spacing w:line="188" w:lineRule="exact"/>
              <w:ind w:left="122"/>
              <w:rPr>
                <w:i/>
                <w:sz w:val="18"/>
              </w:rPr>
            </w:pPr>
            <w:r>
              <w:rPr>
                <w:i/>
                <w:sz w:val="18"/>
              </w:rPr>
              <w:t>H.</w:t>
            </w:r>
            <w:r>
              <w:rPr>
                <w:i/>
                <w:spacing w:val="-1"/>
                <w:sz w:val="18"/>
              </w:rPr>
              <w:t> </w:t>
            </w:r>
            <w:r>
              <w:rPr>
                <w:i/>
                <w:sz w:val="18"/>
              </w:rPr>
              <w:t>influenza</w:t>
            </w:r>
          </w:p>
        </w:tc>
        <w:tc>
          <w:tcPr>
            <w:tcW w:w="980" w:type="dxa"/>
          </w:tcPr>
          <w:p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>4(5.3%)</w:t>
            </w:r>
          </w:p>
        </w:tc>
        <w:tc>
          <w:tcPr>
            <w:tcW w:w="846" w:type="dxa"/>
          </w:tcPr>
          <w:p>
            <w:pPr>
              <w:pStyle w:val="TableParagraph"/>
              <w:spacing w:line="188" w:lineRule="exact"/>
              <w:ind w:left="106"/>
              <w:rPr>
                <w:sz w:val="18"/>
              </w:rPr>
            </w:pPr>
            <w:r>
              <w:rPr>
                <w:sz w:val="18"/>
              </w:rPr>
              <w:t>1(2.6)</w:t>
            </w:r>
          </w:p>
        </w:tc>
        <w:tc>
          <w:tcPr>
            <w:tcW w:w="846" w:type="dxa"/>
          </w:tcPr>
          <w:p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>3(7.9)</w:t>
            </w:r>
          </w:p>
        </w:tc>
        <w:tc>
          <w:tcPr>
            <w:tcW w:w="832" w:type="dxa"/>
          </w:tcPr>
          <w:p>
            <w:pPr>
              <w:pStyle w:val="TableParagraph"/>
              <w:spacing w:line="188" w:lineRule="exact"/>
              <w:ind w:left="106"/>
              <w:rPr>
                <w:sz w:val="18"/>
              </w:rPr>
            </w:pPr>
            <w:r>
              <w:rPr>
                <w:sz w:val="18"/>
              </w:rPr>
              <w:t>3(12)</w:t>
            </w:r>
          </w:p>
        </w:tc>
        <w:tc>
          <w:tcPr>
            <w:tcW w:w="905" w:type="dxa"/>
          </w:tcPr>
          <w:p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>1(3.3)</w:t>
            </w:r>
          </w:p>
        </w:tc>
        <w:tc>
          <w:tcPr>
            <w:tcW w:w="830" w:type="dxa"/>
          </w:tcPr>
          <w:p>
            <w:pPr>
              <w:pStyle w:val="TableParagraph"/>
              <w:spacing w:line="188" w:lineRule="exact"/>
              <w:ind w:left="106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</w:tr>
      <w:tr>
        <w:trPr>
          <w:trHeight w:val="207" w:hRule="atLeast"/>
        </w:trPr>
        <w:tc>
          <w:tcPr>
            <w:tcW w:w="1916" w:type="dxa"/>
          </w:tcPr>
          <w:p>
            <w:pPr>
              <w:pStyle w:val="TableParagraph"/>
              <w:spacing w:line="188" w:lineRule="exact"/>
              <w:ind w:left="122"/>
              <w:rPr>
                <w:i/>
                <w:sz w:val="18"/>
              </w:rPr>
            </w:pPr>
            <w:r>
              <w:rPr>
                <w:i/>
                <w:sz w:val="18"/>
              </w:rPr>
              <w:t>Acinetobacter</w:t>
            </w:r>
          </w:p>
        </w:tc>
        <w:tc>
          <w:tcPr>
            <w:tcW w:w="980" w:type="dxa"/>
          </w:tcPr>
          <w:p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>2(2.6%)</w:t>
            </w:r>
          </w:p>
        </w:tc>
        <w:tc>
          <w:tcPr>
            <w:tcW w:w="846" w:type="dxa"/>
          </w:tcPr>
          <w:p>
            <w:pPr>
              <w:pStyle w:val="TableParagraph"/>
              <w:spacing w:line="188" w:lineRule="exact"/>
              <w:ind w:left="106"/>
              <w:rPr>
                <w:sz w:val="18"/>
              </w:rPr>
            </w:pPr>
            <w:r>
              <w:rPr>
                <w:sz w:val="18"/>
              </w:rPr>
              <w:t>1(2.6)</w:t>
            </w:r>
          </w:p>
        </w:tc>
        <w:tc>
          <w:tcPr>
            <w:tcW w:w="846" w:type="dxa"/>
          </w:tcPr>
          <w:p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>1(2.6)</w:t>
            </w:r>
          </w:p>
        </w:tc>
        <w:tc>
          <w:tcPr>
            <w:tcW w:w="832" w:type="dxa"/>
          </w:tcPr>
          <w:p>
            <w:pPr>
              <w:pStyle w:val="TableParagraph"/>
              <w:spacing w:line="188" w:lineRule="exact"/>
              <w:ind w:left="106"/>
              <w:rPr>
                <w:sz w:val="18"/>
              </w:rPr>
            </w:pPr>
            <w:r>
              <w:rPr>
                <w:sz w:val="18"/>
              </w:rPr>
              <w:t>2(8)</w:t>
            </w:r>
          </w:p>
        </w:tc>
        <w:tc>
          <w:tcPr>
            <w:tcW w:w="905" w:type="dxa"/>
          </w:tcPr>
          <w:p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  <w:tc>
          <w:tcPr>
            <w:tcW w:w="830" w:type="dxa"/>
          </w:tcPr>
          <w:p>
            <w:pPr>
              <w:pStyle w:val="TableParagraph"/>
              <w:spacing w:line="188" w:lineRule="exact"/>
              <w:ind w:left="106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</w:tr>
      <w:tr>
        <w:trPr>
          <w:trHeight w:val="206" w:hRule="atLeast"/>
        </w:trPr>
        <w:tc>
          <w:tcPr>
            <w:tcW w:w="1916" w:type="dxa"/>
          </w:tcPr>
          <w:p>
            <w:pPr>
              <w:pStyle w:val="TableParagraph"/>
              <w:spacing w:line="186" w:lineRule="exact"/>
              <w:ind w:left="122"/>
              <w:rPr>
                <w:i/>
                <w:sz w:val="18"/>
              </w:rPr>
            </w:pPr>
            <w:r>
              <w:rPr>
                <w:i/>
                <w:sz w:val="18"/>
              </w:rPr>
              <w:t>Citrobactor</w:t>
            </w:r>
          </w:p>
        </w:tc>
        <w:tc>
          <w:tcPr>
            <w:tcW w:w="980" w:type="dxa"/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1(1.3%)</w:t>
            </w:r>
          </w:p>
        </w:tc>
        <w:tc>
          <w:tcPr>
            <w:tcW w:w="846" w:type="dxa"/>
          </w:tcPr>
          <w:p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  <w:tc>
          <w:tcPr>
            <w:tcW w:w="846" w:type="dxa"/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1(2.6)</w:t>
            </w:r>
          </w:p>
        </w:tc>
        <w:tc>
          <w:tcPr>
            <w:tcW w:w="832" w:type="dxa"/>
          </w:tcPr>
          <w:p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  <w:tc>
          <w:tcPr>
            <w:tcW w:w="905" w:type="dxa"/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  <w:tc>
          <w:tcPr>
            <w:tcW w:w="830" w:type="dxa"/>
          </w:tcPr>
          <w:p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1(4.8)</w:t>
            </w:r>
          </w:p>
        </w:tc>
      </w:tr>
      <w:tr>
        <w:trPr>
          <w:trHeight w:val="206" w:hRule="atLeast"/>
        </w:trPr>
        <w:tc>
          <w:tcPr>
            <w:tcW w:w="1916" w:type="dxa"/>
          </w:tcPr>
          <w:p>
            <w:pPr>
              <w:pStyle w:val="TableParagraph"/>
              <w:spacing w:line="186" w:lineRule="exact"/>
              <w:ind w:left="122"/>
              <w:rPr>
                <w:i/>
                <w:sz w:val="18"/>
              </w:rPr>
            </w:pPr>
            <w:r>
              <w:rPr>
                <w:i/>
                <w:sz w:val="18"/>
              </w:rPr>
              <w:t>Morganella</w:t>
            </w:r>
            <w:r>
              <w:rPr>
                <w:i/>
                <w:spacing w:val="-2"/>
                <w:sz w:val="18"/>
              </w:rPr>
              <w:t> </w:t>
            </w:r>
            <w:r>
              <w:rPr>
                <w:i/>
                <w:sz w:val="18"/>
              </w:rPr>
              <w:t>Morgany</w:t>
            </w:r>
          </w:p>
        </w:tc>
        <w:tc>
          <w:tcPr>
            <w:tcW w:w="980" w:type="dxa"/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1(1.3%)</w:t>
            </w:r>
          </w:p>
        </w:tc>
        <w:tc>
          <w:tcPr>
            <w:tcW w:w="846" w:type="dxa"/>
          </w:tcPr>
          <w:p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1(2.6)</w:t>
            </w:r>
          </w:p>
        </w:tc>
        <w:tc>
          <w:tcPr>
            <w:tcW w:w="846" w:type="dxa"/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  <w:tc>
          <w:tcPr>
            <w:tcW w:w="832" w:type="dxa"/>
          </w:tcPr>
          <w:p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1(4)</w:t>
            </w:r>
          </w:p>
        </w:tc>
        <w:tc>
          <w:tcPr>
            <w:tcW w:w="905" w:type="dxa"/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  <w:tc>
          <w:tcPr>
            <w:tcW w:w="830" w:type="dxa"/>
          </w:tcPr>
          <w:p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</w:tr>
      <w:tr>
        <w:trPr>
          <w:trHeight w:val="207" w:hRule="atLeast"/>
        </w:trPr>
        <w:tc>
          <w:tcPr>
            <w:tcW w:w="1916" w:type="dxa"/>
          </w:tcPr>
          <w:p>
            <w:pPr>
              <w:pStyle w:val="TableParagraph"/>
              <w:spacing w:line="188" w:lineRule="exact"/>
              <w:ind w:left="122"/>
              <w:rPr>
                <w:i/>
                <w:sz w:val="18"/>
              </w:rPr>
            </w:pPr>
            <w:r>
              <w:rPr>
                <w:i/>
                <w:sz w:val="18"/>
              </w:rPr>
              <w:t>S.</w:t>
            </w:r>
            <w:r>
              <w:rPr>
                <w:i/>
                <w:spacing w:val="-1"/>
                <w:sz w:val="18"/>
              </w:rPr>
              <w:t> </w:t>
            </w:r>
            <w:r>
              <w:rPr>
                <w:i/>
                <w:sz w:val="18"/>
              </w:rPr>
              <w:t>Viridian</w:t>
            </w:r>
          </w:p>
        </w:tc>
        <w:tc>
          <w:tcPr>
            <w:tcW w:w="980" w:type="dxa"/>
          </w:tcPr>
          <w:p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>1(1.3%)</w:t>
            </w:r>
          </w:p>
        </w:tc>
        <w:tc>
          <w:tcPr>
            <w:tcW w:w="846" w:type="dxa"/>
          </w:tcPr>
          <w:p>
            <w:pPr>
              <w:pStyle w:val="TableParagraph"/>
              <w:spacing w:line="188" w:lineRule="exact"/>
              <w:ind w:left="106"/>
              <w:rPr>
                <w:sz w:val="18"/>
              </w:rPr>
            </w:pPr>
            <w:r>
              <w:rPr>
                <w:sz w:val="18"/>
              </w:rPr>
              <w:t>1(2.6)</w:t>
            </w:r>
          </w:p>
        </w:tc>
        <w:tc>
          <w:tcPr>
            <w:tcW w:w="846" w:type="dxa"/>
          </w:tcPr>
          <w:p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  <w:tc>
          <w:tcPr>
            <w:tcW w:w="832" w:type="dxa"/>
          </w:tcPr>
          <w:p>
            <w:pPr>
              <w:pStyle w:val="TableParagraph"/>
              <w:spacing w:line="188" w:lineRule="exact"/>
              <w:ind w:left="106"/>
              <w:rPr>
                <w:sz w:val="18"/>
              </w:rPr>
            </w:pPr>
            <w:r>
              <w:rPr>
                <w:sz w:val="18"/>
              </w:rPr>
              <w:t>1(4)</w:t>
            </w:r>
          </w:p>
        </w:tc>
        <w:tc>
          <w:tcPr>
            <w:tcW w:w="905" w:type="dxa"/>
          </w:tcPr>
          <w:p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  <w:tc>
          <w:tcPr>
            <w:tcW w:w="830" w:type="dxa"/>
          </w:tcPr>
          <w:p>
            <w:pPr>
              <w:pStyle w:val="TableParagraph"/>
              <w:spacing w:line="188" w:lineRule="exact"/>
              <w:ind w:left="106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</w:tr>
      <w:tr>
        <w:trPr>
          <w:trHeight w:val="207" w:hRule="atLeast"/>
        </w:trPr>
        <w:tc>
          <w:tcPr>
            <w:tcW w:w="1916" w:type="dxa"/>
          </w:tcPr>
          <w:p>
            <w:pPr>
              <w:pStyle w:val="TableParagraph"/>
              <w:spacing w:line="188" w:lineRule="exact"/>
              <w:ind w:left="122"/>
              <w:rPr>
                <w:i/>
                <w:sz w:val="18"/>
              </w:rPr>
            </w:pPr>
            <w:r>
              <w:rPr>
                <w:i/>
                <w:sz w:val="18"/>
              </w:rPr>
              <w:t>Proteus</w:t>
            </w:r>
            <w:r>
              <w:rPr>
                <w:i/>
                <w:spacing w:val="-2"/>
                <w:sz w:val="18"/>
              </w:rPr>
              <w:t> </w:t>
            </w:r>
            <w:r>
              <w:rPr>
                <w:i/>
                <w:sz w:val="18"/>
              </w:rPr>
              <w:t>species</w:t>
            </w:r>
          </w:p>
        </w:tc>
        <w:tc>
          <w:tcPr>
            <w:tcW w:w="980" w:type="dxa"/>
          </w:tcPr>
          <w:p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>1(1.3%)</w:t>
            </w:r>
          </w:p>
        </w:tc>
        <w:tc>
          <w:tcPr>
            <w:tcW w:w="846" w:type="dxa"/>
          </w:tcPr>
          <w:p>
            <w:pPr>
              <w:pStyle w:val="TableParagraph"/>
              <w:spacing w:line="188" w:lineRule="exact"/>
              <w:ind w:left="106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  <w:tc>
          <w:tcPr>
            <w:tcW w:w="846" w:type="dxa"/>
          </w:tcPr>
          <w:p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>1(2.6)</w:t>
            </w:r>
          </w:p>
        </w:tc>
        <w:tc>
          <w:tcPr>
            <w:tcW w:w="832" w:type="dxa"/>
          </w:tcPr>
          <w:p>
            <w:pPr>
              <w:pStyle w:val="TableParagraph"/>
              <w:spacing w:line="188" w:lineRule="exact"/>
              <w:ind w:left="106"/>
              <w:rPr>
                <w:sz w:val="18"/>
              </w:rPr>
            </w:pPr>
            <w:r>
              <w:rPr>
                <w:sz w:val="18"/>
              </w:rPr>
              <w:t>1(4)</w:t>
            </w:r>
          </w:p>
        </w:tc>
        <w:tc>
          <w:tcPr>
            <w:tcW w:w="905" w:type="dxa"/>
          </w:tcPr>
          <w:p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  <w:tc>
          <w:tcPr>
            <w:tcW w:w="830" w:type="dxa"/>
          </w:tcPr>
          <w:p>
            <w:pPr>
              <w:pStyle w:val="TableParagraph"/>
              <w:spacing w:line="188" w:lineRule="exact"/>
              <w:ind w:left="106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</w:tr>
      <w:tr>
        <w:trPr>
          <w:trHeight w:val="206" w:hRule="atLeast"/>
        </w:trPr>
        <w:tc>
          <w:tcPr>
            <w:tcW w:w="1916" w:type="dxa"/>
          </w:tcPr>
          <w:p>
            <w:pPr>
              <w:pStyle w:val="TableParagraph"/>
              <w:spacing w:line="186" w:lineRule="exact"/>
              <w:ind w:left="122"/>
              <w:rPr>
                <w:i/>
                <w:sz w:val="18"/>
              </w:rPr>
            </w:pPr>
            <w:r>
              <w:rPr>
                <w:i/>
                <w:sz w:val="18"/>
              </w:rPr>
              <w:t>Pseudomonas</w:t>
            </w:r>
            <w:r>
              <w:rPr>
                <w:i/>
                <w:spacing w:val="-2"/>
                <w:sz w:val="18"/>
              </w:rPr>
              <w:t> </w:t>
            </w:r>
            <w:r>
              <w:rPr>
                <w:i/>
                <w:sz w:val="18"/>
              </w:rPr>
              <w:t>Specious</w:t>
            </w:r>
          </w:p>
        </w:tc>
        <w:tc>
          <w:tcPr>
            <w:tcW w:w="980" w:type="dxa"/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1(1.3%)</w:t>
            </w:r>
          </w:p>
        </w:tc>
        <w:tc>
          <w:tcPr>
            <w:tcW w:w="846" w:type="dxa"/>
          </w:tcPr>
          <w:p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1(2.6)</w:t>
            </w:r>
          </w:p>
        </w:tc>
        <w:tc>
          <w:tcPr>
            <w:tcW w:w="846" w:type="dxa"/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  <w:tc>
          <w:tcPr>
            <w:tcW w:w="832" w:type="dxa"/>
          </w:tcPr>
          <w:p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1(4)</w:t>
            </w:r>
          </w:p>
        </w:tc>
        <w:tc>
          <w:tcPr>
            <w:tcW w:w="905" w:type="dxa"/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  <w:tc>
          <w:tcPr>
            <w:tcW w:w="830" w:type="dxa"/>
          </w:tcPr>
          <w:p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</w:tr>
      <w:tr>
        <w:trPr>
          <w:trHeight w:val="206" w:hRule="atLeast"/>
        </w:trPr>
        <w:tc>
          <w:tcPr>
            <w:tcW w:w="1916" w:type="dxa"/>
          </w:tcPr>
          <w:p>
            <w:pPr>
              <w:pStyle w:val="TableParagraph"/>
              <w:spacing w:line="186" w:lineRule="exact"/>
              <w:ind w:left="122"/>
              <w:rPr>
                <w:i/>
                <w:sz w:val="18"/>
              </w:rPr>
            </w:pPr>
            <w:r>
              <w:rPr>
                <w:i/>
                <w:sz w:val="18"/>
              </w:rPr>
              <w:t>Providencia</w:t>
            </w:r>
            <w:r>
              <w:rPr>
                <w:i/>
                <w:spacing w:val="-2"/>
                <w:sz w:val="18"/>
              </w:rPr>
              <w:t> </w:t>
            </w:r>
            <w:r>
              <w:rPr>
                <w:i/>
                <w:sz w:val="18"/>
              </w:rPr>
              <w:t>Specious</w:t>
            </w:r>
          </w:p>
        </w:tc>
        <w:tc>
          <w:tcPr>
            <w:tcW w:w="980" w:type="dxa"/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1(1.3%)</w:t>
            </w:r>
          </w:p>
        </w:tc>
        <w:tc>
          <w:tcPr>
            <w:tcW w:w="846" w:type="dxa"/>
          </w:tcPr>
          <w:p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  <w:tc>
          <w:tcPr>
            <w:tcW w:w="846" w:type="dxa"/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1(2.6)</w:t>
            </w:r>
          </w:p>
        </w:tc>
        <w:tc>
          <w:tcPr>
            <w:tcW w:w="832" w:type="dxa"/>
          </w:tcPr>
          <w:p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sz w:val="18"/>
              </w:rPr>
              <w:t>1(4)</w:t>
            </w:r>
          </w:p>
        </w:tc>
        <w:tc>
          <w:tcPr>
            <w:tcW w:w="905" w:type="dxa"/>
          </w:tcPr>
          <w:p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  <w:tc>
          <w:tcPr>
            <w:tcW w:w="830" w:type="dxa"/>
          </w:tcPr>
          <w:p>
            <w:pPr>
              <w:pStyle w:val="TableParagraph"/>
              <w:spacing w:line="186" w:lineRule="exact"/>
              <w:ind w:left="106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</w:tr>
      <w:tr>
        <w:trPr>
          <w:trHeight w:val="208" w:hRule="atLeast"/>
        </w:trPr>
        <w:tc>
          <w:tcPr>
            <w:tcW w:w="191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88" w:lineRule="exact"/>
              <w:ind w:left="122"/>
              <w:rPr>
                <w:sz w:val="18"/>
              </w:rPr>
            </w:pPr>
            <w:r>
              <w:rPr>
                <w:sz w:val="18"/>
              </w:rPr>
              <w:t>Total</w:t>
            </w:r>
          </w:p>
        </w:tc>
        <w:tc>
          <w:tcPr>
            <w:tcW w:w="98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>76(100%)</w:t>
            </w:r>
          </w:p>
        </w:tc>
        <w:tc>
          <w:tcPr>
            <w:tcW w:w="84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88" w:lineRule="exact"/>
              <w:ind w:left="106"/>
              <w:rPr>
                <w:sz w:val="18"/>
              </w:rPr>
            </w:pPr>
            <w:r>
              <w:rPr>
                <w:sz w:val="18"/>
              </w:rPr>
              <w:t>38(50%)</w:t>
            </w:r>
          </w:p>
        </w:tc>
        <w:tc>
          <w:tcPr>
            <w:tcW w:w="84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>38(50%)</w:t>
            </w:r>
          </w:p>
        </w:tc>
        <w:tc>
          <w:tcPr>
            <w:tcW w:w="83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88" w:lineRule="exact"/>
              <w:ind w:left="106"/>
              <w:rPr>
                <w:sz w:val="18"/>
              </w:rPr>
            </w:pPr>
            <w:r>
              <w:rPr>
                <w:sz w:val="18"/>
              </w:rPr>
              <w:t>25(32.9)</w:t>
            </w:r>
          </w:p>
        </w:tc>
        <w:tc>
          <w:tcPr>
            <w:tcW w:w="905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88" w:lineRule="exact"/>
              <w:rPr>
                <w:sz w:val="18"/>
              </w:rPr>
            </w:pPr>
            <w:r>
              <w:rPr>
                <w:sz w:val="18"/>
              </w:rPr>
              <w:t>30(39.5)</w:t>
            </w:r>
          </w:p>
        </w:tc>
        <w:tc>
          <w:tcPr>
            <w:tcW w:w="83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88" w:lineRule="exact"/>
              <w:ind w:left="106"/>
              <w:rPr>
                <w:sz w:val="18"/>
              </w:rPr>
            </w:pPr>
            <w:r>
              <w:rPr>
                <w:sz w:val="18"/>
              </w:rPr>
              <w:t>21(27.6)</w:t>
            </w:r>
          </w:p>
        </w:tc>
      </w:tr>
    </w:tbl>
    <w:p>
      <w:pPr>
        <w:pStyle w:val="BodyText"/>
        <w:spacing w:before="7"/>
        <w:rPr>
          <w:b/>
          <w:sz w:val="14"/>
        </w:rPr>
      </w:pPr>
    </w:p>
    <w:p>
      <w:pPr>
        <w:spacing w:after="0"/>
        <w:rPr>
          <w:sz w:val="14"/>
        </w:rPr>
        <w:sectPr>
          <w:type w:val="continuous"/>
          <w:pgSz w:w="11910" w:h="16840"/>
          <w:pgMar w:top="1340" w:bottom="280" w:left="1220" w:right="1220"/>
        </w:sectPr>
      </w:pPr>
    </w:p>
    <w:p>
      <w:pPr>
        <w:pStyle w:val="Heading3"/>
        <w:spacing w:line="276" w:lineRule="auto" w:before="96"/>
        <w:ind w:right="40"/>
      </w:pPr>
      <w:r>
        <w:rPr/>
        <w:t>Antimicrobial susceptibility pattern of isolated</w:t>
      </w:r>
      <w:r>
        <w:rPr>
          <w:spacing w:val="1"/>
        </w:rPr>
        <w:t> </w:t>
      </w:r>
      <w:r>
        <w:rPr/>
        <w:t>bacteria</w:t>
      </w:r>
    </w:p>
    <w:p>
      <w:pPr>
        <w:pStyle w:val="BodyText"/>
        <w:spacing w:line="276" w:lineRule="auto"/>
        <w:ind w:left="220" w:right="38"/>
        <w:jc w:val="both"/>
      </w:pPr>
      <w:r>
        <w:rPr/>
        <w:t>Among</w:t>
      </w:r>
      <w:r>
        <w:rPr>
          <w:spacing w:val="1"/>
        </w:rPr>
        <w:t> </w:t>
      </w:r>
      <w:r>
        <w:rPr/>
        <w:t>Gram</w:t>
      </w:r>
      <w:r>
        <w:rPr>
          <w:spacing w:val="1"/>
        </w:rPr>
        <w:t> </w:t>
      </w:r>
      <w:r>
        <w:rPr/>
        <w:t>positive</w:t>
      </w:r>
      <w:r>
        <w:rPr>
          <w:spacing w:val="1"/>
        </w:rPr>
        <w:t> </w:t>
      </w:r>
      <w:r>
        <w:rPr/>
        <w:t>organisms</w:t>
      </w:r>
      <w:r>
        <w:rPr>
          <w:spacing w:val="1"/>
        </w:rPr>
        <w:t> </w:t>
      </w:r>
      <w:r>
        <w:rPr>
          <w:i/>
        </w:rPr>
        <w:t>S.</w:t>
      </w:r>
      <w:r>
        <w:rPr>
          <w:i/>
          <w:spacing w:val="1"/>
        </w:rPr>
        <w:t> </w:t>
      </w:r>
      <w:r>
        <w:rPr>
          <w:i/>
        </w:rPr>
        <w:t>pneumoniae</w:t>
      </w:r>
      <w:r>
        <w:rPr>
          <w:i/>
          <w:spacing w:val="-47"/>
        </w:rPr>
        <w:t> </w:t>
      </w:r>
      <w:r>
        <w:rPr/>
        <w:t>showed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high</w:t>
      </w:r>
      <w:r>
        <w:rPr>
          <w:spacing w:val="1"/>
        </w:rPr>
        <w:t> </w:t>
      </w:r>
      <w:r>
        <w:rPr/>
        <w:t>level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resistance</w:t>
      </w:r>
      <w:r>
        <w:rPr>
          <w:spacing w:val="1"/>
        </w:rPr>
        <w:t> </w:t>
      </w:r>
      <w:r>
        <w:rPr/>
        <w:t>against</w:t>
      </w:r>
      <w:r>
        <w:rPr>
          <w:spacing w:val="1"/>
        </w:rPr>
        <w:t> </w:t>
      </w:r>
      <w:r>
        <w:rPr/>
        <w:t>cotrimoxazole</w:t>
      </w:r>
      <w:r>
        <w:rPr>
          <w:spacing w:val="1"/>
        </w:rPr>
        <w:t> </w:t>
      </w:r>
      <w:r>
        <w:rPr/>
        <w:t>(81.8%),</w:t>
      </w:r>
      <w:r>
        <w:rPr>
          <w:spacing w:val="1"/>
        </w:rPr>
        <w:t> </w:t>
      </w:r>
      <w:r>
        <w:rPr/>
        <w:t>gentamycin</w:t>
      </w:r>
      <w:r>
        <w:rPr>
          <w:spacing w:val="1"/>
        </w:rPr>
        <w:t> </w:t>
      </w:r>
      <w:r>
        <w:rPr/>
        <w:t>(69.6%)</w:t>
      </w:r>
      <w:r>
        <w:rPr>
          <w:spacing w:val="1"/>
        </w:rPr>
        <w:t> </w:t>
      </w:r>
      <w:r>
        <w:rPr/>
        <w:t>and</w:t>
      </w:r>
      <w:r>
        <w:rPr>
          <w:spacing w:val="-47"/>
        </w:rPr>
        <w:t> </w:t>
      </w:r>
      <w:r>
        <w:rPr/>
        <w:t>tetracycline (60%) but they were 100% sensitive to</w:t>
      </w:r>
      <w:r>
        <w:rPr>
          <w:spacing w:val="1"/>
        </w:rPr>
        <w:t> </w:t>
      </w:r>
      <w:r>
        <w:rPr/>
        <w:t>ampicillin.</w:t>
      </w:r>
      <w:r>
        <w:rPr>
          <w:spacing w:val="28"/>
        </w:rPr>
        <w:t> </w:t>
      </w:r>
      <w:r>
        <w:rPr>
          <w:i/>
        </w:rPr>
        <w:t>S.aureus</w:t>
      </w:r>
      <w:r>
        <w:rPr>
          <w:i/>
          <w:spacing w:val="27"/>
        </w:rPr>
        <w:t> </w:t>
      </w:r>
      <w:r>
        <w:rPr/>
        <w:t>also</w:t>
      </w:r>
      <w:r>
        <w:rPr>
          <w:spacing w:val="28"/>
        </w:rPr>
        <w:t> </w:t>
      </w:r>
      <w:r>
        <w:rPr/>
        <w:t>showed</w:t>
      </w:r>
      <w:r>
        <w:rPr>
          <w:spacing w:val="27"/>
        </w:rPr>
        <w:t> </w:t>
      </w:r>
      <w:r>
        <w:rPr/>
        <w:t>100%</w:t>
      </w:r>
      <w:r>
        <w:rPr>
          <w:spacing w:val="27"/>
        </w:rPr>
        <w:t> </w:t>
      </w:r>
      <w:r>
        <w:rPr/>
        <w:t>resistance</w:t>
      </w:r>
      <w:r>
        <w:rPr>
          <w:spacing w:val="-48"/>
        </w:rPr>
        <w:t> </w:t>
      </w:r>
      <w:r>
        <w:rPr/>
        <w:t>to</w:t>
      </w:r>
      <w:r>
        <w:rPr>
          <w:spacing w:val="1"/>
        </w:rPr>
        <w:t> </w:t>
      </w:r>
      <w:r>
        <w:rPr/>
        <w:t>cotrimoxazole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tetracycline</w:t>
      </w:r>
      <w:r>
        <w:rPr>
          <w:spacing w:val="1"/>
        </w:rPr>
        <w:t> </w:t>
      </w:r>
      <w:r>
        <w:rPr/>
        <w:t>but</w:t>
      </w:r>
      <w:r>
        <w:rPr>
          <w:spacing w:val="51"/>
        </w:rPr>
        <w:t> </w:t>
      </w:r>
      <w:r>
        <w:rPr/>
        <w:t>were</w:t>
      </w:r>
      <w:r>
        <w:rPr>
          <w:spacing w:val="1"/>
        </w:rPr>
        <w:t> </w:t>
      </w:r>
      <w:r>
        <w:rPr/>
        <w:t>sensitive to chloramphenicol and gentamycin. The</w:t>
      </w:r>
      <w:r>
        <w:rPr>
          <w:spacing w:val="1"/>
        </w:rPr>
        <w:t> </w:t>
      </w:r>
      <w:r>
        <w:rPr/>
        <w:t>single isolate of Veridian streptococci was 100%</w:t>
      </w:r>
      <w:r>
        <w:rPr>
          <w:spacing w:val="1"/>
        </w:rPr>
        <w:t> </w:t>
      </w:r>
      <w:r>
        <w:rPr/>
        <w:t>resistant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ciprofloxacin,</w:t>
      </w:r>
      <w:r>
        <w:rPr>
          <w:spacing w:val="51"/>
        </w:rPr>
        <w:t> </w:t>
      </w:r>
      <w:r>
        <w:rPr/>
        <w:t>erythromycin,</w:t>
      </w:r>
      <w:r>
        <w:rPr>
          <w:spacing w:val="-47"/>
        </w:rPr>
        <w:t> </w:t>
      </w:r>
      <w:r>
        <w:rPr/>
        <w:t>gentamycin</w:t>
      </w:r>
      <w:r>
        <w:rPr>
          <w:spacing w:val="-2"/>
        </w:rPr>
        <w:t> </w:t>
      </w:r>
      <w:r>
        <w:rPr/>
        <w:t>and</w:t>
      </w:r>
      <w:r>
        <w:rPr>
          <w:spacing w:val="1"/>
        </w:rPr>
        <w:t> </w:t>
      </w:r>
      <w:r>
        <w:rPr/>
        <w:t>co-trimoxazol.</w:t>
      </w:r>
    </w:p>
    <w:p>
      <w:pPr>
        <w:pStyle w:val="BodyText"/>
        <w:spacing w:before="7"/>
        <w:rPr>
          <w:sz w:val="22"/>
        </w:rPr>
      </w:pPr>
    </w:p>
    <w:p>
      <w:pPr>
        <w:pStyle w:val="BodyText"/>
        <w:spacing w:line="276" w:lineRule="auto" w:before="1"/>
        <w:ind w:left="220" w:right="38"/>
        <w:jc w:val="both"/>
      </w:pPr>
      <w:r>
        <w:rPr/>
        <w:t>From</w:t>
      </w:r>
      <w:r>
        <w:rPr>
          <w:spacing w:val="1"/>
        </w:rPr>
        <w:t> </w:t>
      </w:r>
      <w:r>
        <w:rPr/>
        <w:t>Gram</w:t>
      </w:r>
      <w:r>
        <w:rPr>
          <w:spacing w:val="1"/>
        </w:rPr>
        <w:t> </w:t>
      </w:r>
      <w:r>
        <w:rPr/>
        <w:t>negative</w:t>
      </w:r>
      <w:r>
        <w:rPr>
          <w:spacing w:val="1"/>
        </w:rPr>
        <w:t> </w:t>
      </w:r>
      <w:r>
        <w:rPr/>
        <w:t>bacteria</w:t>
      </w:r>
      <w:r>
        <w:rPr>
          <w:spacing w:val="1"/>
        </w:rPr>
        <w:t> </w:t>
      </w:r>
      <w:r>
        <w:rPr/>
        <w:t>isolated</w:t>
      </w:r>
      <w:r>
        <w:rPr>
          <w:spacing w:val="1"/>
        </w:rPr>
        <w:t> </w:t>
      </w:r>
      <w:r>
        <w:rPr>
          <w:i/>
        </w:rPr>
        <w:t>N.</w:t>
      </w:r>
      <w:r>
        <w:rPr>
          <w:i/>
          <w:spacing w:val="1"/>
        </w:rPr>
        <w:t> </w:t>
      </w:r>
      <w:r>
        <w:rPr>
          <w:i/>
        </w:rPr>
        <w:t>meningitides</w:t>
      </w:r>
      <w:r>
        <w:rPr>
          <w:i/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95.3%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57%</w:t>
      </w:r>
      <w:r>
        <w:rPr>
          <w:spacing w:val="1"/>
        </w:rPr>
        <w:t> </w:t>
      </w:r>
      <w:r>
        <w:rPr/>
        <w:t>resistant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cotrimoxazole, and gentamycin respectively while</w:t>
      </w:r>
      <w:r>
        <w:rPr>
          <w:spacing w:val="1"/>
        </w:rPr>
        <w:t> </w:t>
      </w:r>
      <w:r>
        <w:rPr/>
        <w:t>they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sensitive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penicillin</w:t>
      </w:r>
      <w:r>
        <w:rPr>
          <w:spacing w:val="1"/>
        </w:rPr>
        <w:t> </w:t>
      </w:r>
      <w:r>
        <w:rPr/>
        <w:t>(100%)</w:t>
      </w:r>
      <w:r>
        <w:rPr>
          <w:spacing w:val="1"/>
        </w:rPr>
        <w:t> </w:t>
      </w:r>
      <w:r>
        <w:rPr/>
        <w:t>and</w:t>
      </w:r>
      <w:r>
        <w:rPr>
          <w:spacing w:val="-47"/>
        </w:rPr>
        <w:t> </w:t>
      </w:r>
      <w:r>
        <w:rPr/>
        <w:t>ceftriaxone (90.9%). All isolates of </w:t>
      </w:r>
      <w:r>
        <w:rPr>
          <w:i/>
        </w:rPr>
        <w:t>H. influenzae</w:t>
      </w:r>
      <w:r>
        <w:rPr>
          <w:i/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100%</w:t>
      </w:r>
      <w:r>
        <w:rPr>
          <w:spacing w:val="1"/>
        </w:rPr>
        <w:t> </w:t>
      </w:r>
      <w:r>
        <w:rPr/>
        <w:t>sensitive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ampicillin,</w:t>
      </w:r>
      <w:r>
        <w:rPr>
          <w:spacing w:val="1"/>
        </w:rPr>
        <w:t> </w:t>
      </w:r>
      <w:r>
        <w:rPr/>
        <w:t>ceftriaxon,</w:t>
      </w:r>
      <w:r>
        <w:rPr>
          <w:spacing w:val="1"/>
        </w:rPr>
        <w:t> </w:t>
      </w:r>
      <w:r>
        <w:rPr/>
        <w:t>chloramphinicol,</w:t>
      </w:r>
      <w:r>
        <w:rPr>
          <w:spacing w:val="1"/>
        </w:rPr>
        <w:t> </w:t>
      </w:r>
      <w:r>
        <w:rPr/>
        <w:t>ciprofloxacilin,</w:t>
      </w:r>
      <w:r>
        <w:rPr>
          <w:spacing w:val="1"/>
        </w:rPr>
        <w:t> </w:t>
      </w:r>
      <w:r>
        <w:rPr/>
        <w:t>erythromycin,</w:t>
      </w:r>
      <w:r>
        <w:rPr>
          <w:spacing w:val="-47"/>
        </w:rPr>
        <w:t> </w:t>
      </w:r>
      <w:r>
        <w:rPr/>
        <w:t>norfloxacilin,</w:t>
      </w:r>
      <w:r>
        <w:rPr>
          <w:spacing w:val="41"/>
        </w:rPr>
        <w:t> </w:t>
      </w:r>
      <w:r>
        <w:rPr/>
        <w:t>and</w:t>
      </w:r>
      <w:r>
        <w:rPr>
          <w:spacing w:val="42"/>
        </w:rPr>
        <w:t> </w:t>
      </w:r>
      <w:r>
        <w:rPr/>
        <w:t>kanamycin</w:t>
      </w:r>
      <w:r>
        <w:rPr>
          <w:spacing w:val="42"/>
        </w:rPr>
        <w:t> </w:t>
      </w:r>
      <w:r>
        <w:rPr/>
        <w:t>while</w:t>
      </w:r>
      <w:r>
        <w:rPr>
          <w:spacing w:val="41"/>
        </w:rPr>
        <w:t> </w:t>
      </w:r>
      <w:r>
        <w:rPr/>
        <w:t>they</w:t>
      </w:r>
      <w:r>
        <w:rPr>
          <w:spacing w:val="40"/>
        </w:rPr>
        <w:t> </w:t>
      </w:r>
      <w:r>
        <w:rPr/>
        <w:t>were</w:t>
      </w:r>
    </w:p>
    <w:p>
      <w:pPr>
        <w:pStyle w:val="BodyText"/>
        <w:spacing w:line="276" w:lineRule="auto" w:before="91"/>
        <w:ind w:left="220" w:right="218"/>
        <w:jc w:val="both"/>
      </w:pPr>
      <w:r>
        <w:rPr/>
        <w:br w:type="column"/>
      </w:r>
      <w:r>
        <w:rPr/>
        <w:t>resistant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gentamycin</w:t>
      </w:r>
      <w:r>
        <w:rPr>
          <w:spacing w:val="1"/>
        </w:rPr>
        <w:t> </w:t>
      </w:r>
      <w:r>
        <w:rPr/>
        <w:t>(66.7%).</w:t>
      </w:r>
      <w:r>
        <w:rPr>
          <w:spacing w:val="1"/>
        </w:rPr>
        <w:t> </w:t>
      </w:r>
      <w:r>
        <w:rPr>
          <w:i/>
        </w:rPr>
        <w:t>E.</w:t>
      </w:r>
      <w:r>
        <w:rPr>
          <w:i/>
          <w:spacing w:val="1"/>
        </w:rPr>
        <w:t> </w:t>
      </w:r>
      <w:r>
        <w:rPr>
          <w:i/>
        </w:rPr>
        <w:t>coli</w:t>
      </w:r>
      <w:r>
        <w:rPr>
          <w:i/>
          <w:spacing w:val="1"/>
        </w:rPr>
        <w:t> </w:t>
      </w:r>
      <w:r>
        <w:rPr/>
        <w:t>showed</w:t>
      </w:r>
      <w:r>
        <w:rPr>
          <w:spacing w:val="-47"/>
        </w:rPr>
        <w:t> </w:t>
      </w:r>
      <w:r>
        <w:rPr/>
        <w:t>100%</w:t>
      </w:r>
      <w:r>
        <w:rPr>
          <w:spacing w:val="1"/>
        </w:rPr>
        <w:t> </w:t>
      </w:r>
      <w:r>
        <w:rPr/>
        <w:t>resistance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cotrimoxzole,</w:t>
      </w:r>
      <w:r>
        <w:rPr>
          <w:spacing w:val="1"/>
        </w:rPr>
        <w:t> </w:t>
      </w:r>
      <w:r>
        <w:rPr/>
        <w:t>tetracycline,</w:t>
      </w:r>
      <w:r>
        <w:rPr>
          <w:spacing w:val="1"/>
        </w:rPr>
        <w:t> </w:t>
      </w:r>
      <w:r>
        <w:rPr/>
        <w:t>ampicllin and naldixic acid but the isolates were</w:t>
      </w:r>
      <w:r>
        <w:rPr>
          <w:spacing w:val="1"/>
        </w:rPr>
        <w:t> </w:t>
      </w:r>
      <w:r>
        <w:rPr/>
        <w:t>100% sensitive to ceftriaxone. </w:t>
      </w:r>
      <w:r>
        <w:rPr>
          <w:i/>
        </w:rPr>
        <w:t>Salmonella </w:t>
      </w:r>
      <w:r>
        <w:rPr/>
        <w:t>species</w:t>
      </w:r>
      <w:r>
        <w:rPr>
          <w:spacing w:val="1"/>
        </w:rPr>
        <w:t> </w:t>
      </w:r>
      <w:r>
        <w:rPr/>
        <w:t>were 100% resistant to ceftriaxon, chloramphinicol,</w:t>
      </w:r>
      <w:r>
        <w:rPr>
          <w:spacing w:val="-47"/>
        </w:rPr>
        <w:t> </w:t>
      </w:r>
      <w:r>
        <w:rPr/>
        <w:t>gentamycin, ampicillin and tetracycline while they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100%</w:t>
      </w:r>
      <w:r>
        <w:rPr>
          <w:spacing w:val="1"/>
        </w:rPr>
        <w:t> </w:t>
      </w:r>
      <w:r>
        <w:rPr/>
        <w:t>sensitive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ciprofloxacilin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norfloxacilin.</w:t>
      </w:r>
    </w:p>
    <w:p>
      <w:pPr>
        <w:pStyle w:val="BodyText"/>
        <w:rPr>
          <w:sz w:val="23"/>
        </w:rPr>
      </w:pPr>
    </w:p>
    <w:p>
      <w:pPr>
        <w:pStyle w:val="BodyText"/>
        <w:spacing w:line="276" w:lineRule="auto" w:before="1"/>
        <w:ind w:left="220" w:right="218"/>
        <w:jc w:val="both"/>
      </w:pPr>
      <w:r>
        <w:rPr/>
        <w:t>Acinetobacter</w:t>
      </w:r>
      <w:r>
        <w:rPr>
          <w:spacing w:val="1"/>
        </w:rPr>
        <w:t> </w:t>
      </w:r>
      <w:r>
        <w:rPr/>
        <w:t>isolates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100%</w:t>
      </w:r>
      <w:r>
        <w:rPr>
          <w:spacing w:val="1"/>
        </w:rPr>
        <w:t> </w:t>
      </w:r>
      <w:r>
        <w:rPr/>
        <w:t>resistant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amoxicillin, gentamycin, norfloxacillin, penicillin,</w:t>
      </w:r>
      <w:r>
        <w:rPr>
          <w:spacing w:val="1"/>
        </w:rPr>
        <w:t> </w:t>
      </w:r>
      <w:r>
        <w:rPr/>
        <w:t>cotrimoxazol,</w:t>
      </w:r>
      <w:r>
        <w:rPr>
          <w:spacing w:val="30"/>
        </w:rPr>
        <w:t> </w:t>
      </w:r>
      <w:r>
        <w:rPr/>
        <w:t>and</w:t>
      </w:r>
      <w:r>
        <w:rPr>
          <w:spacing w:val="31"/>
        </w:rPr>
        <w:t> </w:t>
      </w:r>
      <w:r>
        <w:rPr/>
        <w:t>kanamycin</w:t>
      </w:r>
      <w:r>
        <w:rPr>
          <w:spacing w:val="32"/>
        </w:rPr>
        <w:t> </w:t>
      </w:r>
      <w:r>
        <w:rPr/>
        <w:t>and</w:t>
      </w:r>
      <w:r>
        <w:rPr>
          <w:spacing w:val="31"/>
        </w:rPr>
        <w:t> </w:t>
      </w:r>
      <w:r>
        <w:rPr/>
        <w:t>100%</w:t>
      </w:r>
      <w:r>
        <w:rPr>
          <w:spacing w:val="31"/>
        </w:rPr>
        <w:t> </w:t>
      </w:r>
      <w:r>
        <w:rPr/>
        <w:t>sensitive</w:t>
      </w:r>
      <w:r>
        <w:rPr>
          <w:spacing w:val="-48"/>
        </w:rPr>
        <w:t> </w:t>
      </w:r>
      <w:r>
        <w:rPr/>
        <w:t>to naldixic acid and ceftriaxon. Citrobactor isolates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100%</w:t>
      </w:r>
      <w:r>
        <w:rPr>
          <w:spacing w:val="1"/>
        </w:rPr>
        <w:t> </w:t>
      </w:r>
      <w:r>
        <w:rPr/>
        <w:t>resistant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chloramphinicol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tetracycline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100%</w:t>
      </w:r>
      <w:r>
        <w:rPr>
          <w:spacing w:val="1"/>
        </w:rPr>
        <w:t> </w:t>
      </w:r>
      <w:r>
        <w:rPr/>
        <w:t>sensitive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amoxicillin, ampicillin, ceftriaxon, gentamycin and</w:t>
      </w:r>
      <w:r>
        <w:rPr>
          <w:spacing w:val="1"/>
        </w:rPr>
        <w:t> </w:t>
      </w:r>
      <w:r>
        <w:rPr/>
        <w:t>cotrimoxazol. Isolates of </w:t>
      </w:r>
      <w:r>
        <w:rPr>
          <w:i/>
        </w:rPr>
        <w:t>Proteus </w:t>
      </w:r>
      <w:r>
        <w:rPr/>
        <w:t>species and </w:t>
      </w:r>
      <w:r>
        <w:rPr>
          <w:i/>
        </w:rPr>
        <w:t>M.</w:t>
      </w:r>
      <w:r>
        <w:rPr>
          <w:i/>
          <w:spacing w:val="1"/>
        </w:rPr>
        <w:t> </w:t>
      </w:r>
      <w:r>
        <w:rPr>
          <w:i/>
        </w:rPr>
        <w:t>morgani</w:t>
      </w:r>
      <w:r>
        <w:rPr>
          <w:i/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100%</w:t>
      </w:r>
      <w:r>
        <w:rPr>
          <w:spacing w:val="1"/>
        </w:rPr>
        <w:t> </w:t>
      </w:r>
      <w:r>
        <w:rPr/>
        <w:t>resistant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amoxicillin,</w:t>
      </w:r>
      <w:r>
        <w:rPr>
          <w:spacing w:val="1"/>
        </w:rPr>
        <w:t> </w:t>
      </w:r>
      <w:r>
        <w:rPr/>
        <w:t>ampicillin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cotrimoxazole.</w:t>
      </w:r>
      <w:r>
        <w:rPr>
          <w:spacing w:val="51"/>
        </w:rPr>
        <w:t> </w:t>
      </w:r>
      <w:r>
        <w:rPr>
          <w:i/>
        </w:rPr>
        <w:t>Pseudomonas</w:t>
      </w:r>
      <w:r>
        <w:rPr>
          <w:i/>
          <w:spacing w:val="1"/>
        </w:rPr>
        <w:t> </w:t>
      </w:r>
      <w:r>
        <w:rPr/>
        <w:t>species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resistant</w:t>
      </w:r>
      <w:r>
        <w:rPr>
          <w:spacing w:val="1"/>
        </w:rPr>
        <w:t> </w:t>
      </w:r>
      <w:r>
        <w:rPr/>
        <w:t>only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tetracycline</w:t>
      </w:r>
      <w:r>
        <w:rPr>
          <w:spacing w:val="1"/>
        </w:rPr>
        <w:t> </w:t>
      </w:r>
      <w:r>
        <w:rPr/>
        <w:t>but</w:t>
      </w:r>
      <w:r>
        <w:rPr>
          <w:spacing w:val="1"/>
        </w:rPr>
        <w:t> </w:t>
      </w:r>
      <w:r>
        <w:rPr/>
        <w:t>sensitive</w:t>
      </w:r>
      <w:r>
        <w:rPr>
          <w:spacing w:val="47"/>
        </w:rPr>
        <w:t> </w:t>
      </w:r>
      <w:r>
        <w:rPr/>
        <w:t>to</w:t>
      </w:r>
      <w:r>
        <w:rPr>
          <w:spacing w:val="48"/>
        </w:rPr>
        <w:t> </w:t>
      </w:r>
      <w:r>
        <w:rPr/>
        <w:t>the</w:t>
      </w:r>
      <w:r>
        <w:rPr>
          <w:spacing w:val="47"/>
        </w:rPr>
        <w:t> </w:t>
      </w:r>
      <w:r>
        <w:rPr/>
        <w:t>rest</w:t>
      </w:r>
      <w:r>
        <w:rPr>
          <w:spacing w:val="46"/>
        </w:rPr>
        <w:t> </w:t>
      </w:r>
      <w:r>
        <w:rPr/>
        <w:t>of</w:t>
      </w:r>
      <w:r>
        <w:rPr>
          <w:spacing w:val="47"/>
        </w:rPr>
        <w:t> </w:t>
      </w:r>
      <w:r>
        <w:rPr/>
        <w:t>the</w:t>
      </w:r>
      <w:r>
        <w:rPr>
          <w:spacing w:val="47"/>
        </w:rPr>
        <w:t> </w:t>
      </w:r>
      <w:r>
        <w:rPr/>
        <w:t>drugs</w:t>
      </w:r>
      <w:r>
        <w:rPr>
          <w:spacing w:val="46"/>
        </w:rPr>
        <w:t> </w:t>
      </w:r>
      <w:r>
        <w:rPr/>
        <w:t>tested.</w:t>
      </w:r>
    </w:p>
    <w:p>
      <w:pPr>
        <w:spacing w:after="0" w:line="276" w:lineRule="auto"/>
        <w:jc w:val="both"/>
        <w:sectPr>
          <w:type w:val="continuous"/>
          <w:pgSz w:w="11910" w:h="16840"/>
          <w:pgMar w:top="1340" w:bottom="280" w:left="1220" w:right="1220"/>
          <w:cols w:num="2" w:equalWidth="0">
            <w:col w:w="4414" w:space="458"/>
            <w:col w:w="4598"/>
          </w:cols>
        </w:sectPr>
      </w:pPr>
    </w:p>
    <w:p>
      <w:pPr>
        <w:pStyle w:val="Heading3"/>
        <w:spacing w:line="276" w:lineRule="auto" w:before="85"/>
        <w:ind w:left="2103" w:right="771" w:hanging="881"/>
        <w:jc w:val="left"/>
      </w:pPr>
      <w:r>
        <w:rPr/>
        <w:t>Table</w:t>
      </w:r>
      <w:r>
        <w:rPr>
          <w:spacing w:val="-4"/>
        </w:rPr>
        <w:t> </w:t>
      </w:r>
      <w:r>
        <w:rPr/>
        <w:t>No.</w:t>
      </w:r>
      <w:r>
        <w:rPr>
          <w:spacing w:val="-2"/>
        </w:rPr>
        <w:t> </w:t>
      </w:r>
      <w:r>
        <w:rPr/>
        <w:t>02:</w:t>
      </w:r>
      <w:r>
        <w:rPr>
          <w:spacing w:val="-2"/>
        </w:rPr>
        <w:t> </w:t>
      </w:r>
      <w:r>
        <w:rPr/>
        <w:t>Antimicrobial</w:t>
      </w:r>
      <w:r>
        <w:rPr>
          <w:spacing w:val="-2"/>
        </w:rPr>
        <w:t> </w:t>
      </w:r>
      <w:r>
        <w:rPr/>
        <w:t>resistance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commonly</w:t>
      </w:r>
      <w:r>
        <w:rPr>
          <w:spacing w:val="-2"/>
        </w:rPr>
        <w:t> </w:t>
      </w:r>
      <w:r>
        <w:rPr/>
        <w:t>isolated</w:t>
      </w:r>
      <w:r>
        <w:rPr>
          <w:spacing w:val="-3"/>
        </w:rPr>
        <w:t> </w:t>
      </w:r>
      <w:r>
        <w:rPr/>
        <w:t>bacteria</w:t>
      </w:r>
      <w:r>
        <w:rPr>
          <w:spacing w:val="-3"/>
        </w:rPr>
        <w:t> </w:t>
      </w:r>
      <w:r>
        <w:rPr/>
        <w:t>from</w:t>
      </w:r>
      <w:r>
        <w:rPr>
          <w:spacing w:val="-8"/>
        </w:rPr>
        <w:t> </w:t>
      </w:r>
      <w:r>
        <w:rPr/>
        <w:t>CSF</w:t>
      </w:r>
      <w:r>
        <w:rPr>
          <w:spacing w:val="-3"/>
        </w:rPr>
        <w:t> </w:t>
      </w:r>
      <w:r>
        <w:rPr/>
        <w:t>in</w:t>
      </w:r>
      <w:r>
        <w:rPr>
          <w:spacing w:val="-47"/>
        </w:rPr>
        <w:t> </w:t>
      </w:r>
      <w:r>
        <w:rPr/>
        <w:t>university of Gondar</w:t>
      </w:r>
      <w:r>
        <w:rPr>
          <w:spacing w:val="-1"/>
        </w:rPr>
        <w:t> </w:t>
      </w:r>
      <w:r>
        <w:rPr/>
        <w:t>Hospital (September</w:t>
      </w:r>
      <w:r>
        <w:rPr>
          <w:spacing w:val="-1"/>
        </w:rPr>
        <w:t> </w:t>
      </w:r>
      <w:r>
        <w:rPr/>
        <w:t>2009-</w:t>
      </w:r>
      <w:r>
        <w:rPr>
          <w:spacing w:val="-3"/>
        </w:rPr>
        <w:t> </w:t>
      </w:r>
      <w:r>
        <w:rPr/>
        <w:t>March</w:t>
      </w:r>
      <w:r>
        <w:rPr>
          <w:spacing w:val="-4"/>
        </w:rPr>
        <w:t> </w:t>
      </w:r>
      <w:r>
        <w:rPr/>
        <w:t>2011)</w:t>
      </w:r>
    </w:p>
    <w:p>
      <w:pPr>
        <w:pStyle w:val="BodyText"/>
        <w:rPr>
          <w:b/>
        </w:rPr>
      </w:pPr>
    </w:p>
    <w:p>
      <w:pPr>
        <w:pStyle w:val="BodyText"/>
        <w:spacing w:before="7"/>
        <w:rPr>
          <w:b/>
          <w:sz w:val="27"/>
        </w:rPr>
      </w:pPr>
    </w:p>
    <w:p>
      <w:pPr>
        <w:spacing w:before="92"/>
        <w:ind w:left="220" w:right="0" w:firstLine="0"/>
        <w:jc w:val="left"/>
        <w:rPr>
          <w:b/>
          <w:sz w:val="18"/>
        </w:rPr>
      </w:pPr>
      <w:r>
        <w:rPr/>
        <w:pict>
          <v:shape style="position:absolute;margin-left:66.239998pt;margin-top:-27.257641pt;width:462.4pt;height:291.25pt;mso-position-horizontal-relative:page;mso-position-vertical-relative:paragraph;z-index:1573324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452"/>
                    <w:gridCol w:w="817"/>
                    <w:gridCol w:w="736"/>
                    <w:gridCol w:w="707"/>
                    <w:gridCol w:w="635"/>
                    <w:gridCol w:w="611"/>
                    <w:gridCol w:w="624"/>
                    <w:gridCol w:w="724"/>
                    <w:gridCol w:w="641"/>
                    <w:gridCol w:w="675"/>
                    <w:gridCol w:w="617"/>
                  </w:tblGrid>
                  <w:tr>
                    <w:trPr>
                      <w:trHeight w:val="213" w:hRule="atLeast"/>
                    </w:trPr>
                    <w:tc>
                      <w:tcPr>
                        <w:tcW w:w="2452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1391" w:val="left" w:leader="none"/>
                          </w:tabs>
                          <w:spacing w:line="187" w:lineRule="exact" w:before="6"/>
                          <w:ind w:left="0" w:right="164"/>
                          <w:jc w:val="righ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Organism</w:t>
                          <w:tab/>
                        </w:r>
                        <w:r>
                          <w:rPr>
                            <w:b/>
                            <w:position w:val="10"/>
                            <w:sz w:val="18"/>
                          </w:rPr>
                          <w:t>AMX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1" w:lineRule="exact" w:before="3"/>
                          <w:ind w:left="148" w:right="149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AMPI</w:t>
                        </w:r>
                      </w:p>
                    </w:tc>
                    <w:tc>
                      <w:tcPr>
                        <w:tcW w:w="736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1" w:lineRule="exact" w:before="3"/>
                          <w:ind w:left="167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CRO</w:t>
                        </w:r>
                      </w:p>
                    </w:tc>
                    <w:tc>
                      <w:tcPr>
                        <w:tcW w:w="707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1" w:lineRule="exact" w:before="3"/>
                          <w:ind w:left="148" w:right="148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CAF</w:t>
                        </w:r>
                      </w:p>
                    </w:tc>
                    <w:tc>
                      <w:tcPr>
                        <w:tcW w:w="635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1" w:lineRule="exact" w:before="3"/>
                          <w:ind w:left="172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CIP</w:t>
                        </w:r>
                      </w:p>
                    </w:tc>
                    <w:tc>
                      <w:tcPr>
                        <w:tcW w:w="611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1" w:lineRule="exact" w:before="3"/>
                          <w:ind w:left="3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w w:val="100"/>
                            <w:sz w:val="18"/>
                          </w:rPr>
                          <w:t>E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1" w:lineRule="exact" w:before="3"/>
                          <w:ind w:left="129" w:right="138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CN</w:t>
                        </w:r>
                      </w:p>
                    </w:tc>
                    <w:tc>
                      <w:tcPr>
                        <w:tcW w:w="724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1" w:lineRule="exact" w:before="3"/>
                          <w:ind w:left="0" w:right="156"/>
                          <w:jc w:val="righ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NOR</w:t>
                        </w:r>
                      </w:p>
                    </w:tc>
                    <w:tc>
                      <w:tcPr>
                        <w:tcW w:w="641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1" w:lineRule="exact" w:before="3"/>
                          <w:ind w:left="147" w:right="136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PG</w:t>
                        </w:r>
                      </w:p>
                    </w:tc>
                    <w:tc>
                      <w:tcPr>
                        <w:tcW w:w="675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1" w:lineRule="exact" w:before="3"/>
                          <w:ind w:left="148" w:right="136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SXT</w:t>
                        </w:r>
                      </w:p>
                    </w:tc>
                    <w:tc>
                      <w:tcPr>
                        <w:tcW w:w="617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1" w:lineRule="exact" w:before="3"/>
                          <w:ind w:left="149" w:right="126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TE</w:t>
                        </w:r>
                      </w:p>
                    </w:tc>
                  </w:tr>
                  <w:tr>
                    <w:trPr>
                      <w:trHeight w:val="200" w:hRule="atLeast"/>
                    </w:trPr>
                    <w:tc>
                      <w:tcPr>
                        <w:tcW w:w="245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1" w:lineRule="exact"/>
                          <w:ind w:left="0" w:right="237"/>
                          <w:jc w:val="righ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(%)</w:t>
                        </w:r>
                      </w:p>
                    </w:tc>
                    <w:tc>
                      <w:tcPr>
                        <w:tcW w:w="81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1" w:lineRule="exact"/>
                          <w:ind w:left="145" w:right="149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(%)</w:t>
                        </w:r>
                      </w:p>
                    </w:tc>
                    <w:tc>
                      <w:tcPr>
                        <w:tcW w:w="736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1" w:lineRule="exact"/>
                          <w:ind w:left="218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(%)</w:t>
                        </w:r>
                      </w:p>
                    </w:tc>
                    <w:tc>
                      <w:tcPr>
                        <w:tcW w:w="70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1" w:lineRule="exact"/>
                          <w:ind w:left="148" w:right="148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(%)</w:t>
                        </w:r>
                      </w:p>
                    </w:tc>
                    <w:tc>
                      <w:tcPr>
                        <w:tcW w:w="635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1" w:lineRule="exact"/>
                          <w:ind w:left="176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(%)</w:t>
                        </w:r>
                      </w:p>
                    </w:tc>
                    <w:tc>
                      <w:tcPr>
                        <w:tcW w:w="61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1" w:lineRule="exact"/>
                          <w:ind w:left="125" w:right="124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(%)</w:t>
                        </w:r>
                      </w:p>
                    </w:tc>
                    <w:tc>
                      <w:tcPr>
                        <w:tcW w:w="624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1" w:lineRule="exact"/>
                          <w:ind w:left="123" w:right="140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(%)</w:t>
                        </w:r>
                      </w:p>
                    </w:tc>
                    <w:tc>
                      <w:tcPr>
                        <w:tcW w:w="724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1" w:lineRule="exact"/>
                          <w:ind w:left="0" w:right="209"/>
                          <w:jc w:val="righ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(%)</w:t>
                        </w:r>
                      </w:p>
                    </w:tc>
                    <w:tc>
                      <w:tcPr>
                        <w:tcW w:w="64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1" w:lineRule="exact"/>
                          <w:ind w:left="141" w:right="138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(%)</w:t>
                        </w:r>
                      </w:p>
                    </w:tc>
                    <w:tc>
                      <w:tcPr>
                        <w:tcW w:w="675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1" w:lineRule="exact"/>
                          <w:ind w:left="143" w:right="136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(%)</w:t>
                        </w:r>
                      </w:p>
                    </w:tc>
                    <w:tc>
                      <w:tcPr>
                        <w:tcW w:w="61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1" w:lineRule="exact"/>
                          <w:ind w:left="149" w:right="128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(%)</w:t>
                        </w:r>
                      </w:p>
                    </w:tc>
                  </w:tr>
                  <w:tr>
                    <w:trPr>
                      <w:trHeight w:val="414" w:hRule="atLeast"/>
                    </w:trPr>
                    <w:tc>
                      <w:tcPr>
                        <w:tcW w:w="2452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2158" w:val="right" w:leader="none"/>
                          </w:tabs>
                          <w:spacing w:before="1"/>
                          <w:ind w:left="115"/>
                          <w:rPr>
                            <w:sz w:val="18"/>
                          </w:rPr>
                        </w:pPr>
                        <w:r>
                          <w:rPr>
                            <w:b/>
                            <w:i/>
                            <w:sz w:val="18"/>
                          </w:rPr>
                          <w:t>N.meningitidis</w:t>
                          <w:tab/>
                        </w:r>
                        <w:r>
                          <w:rPr>
                            <w:position w:val="-9"/>
                            <w:sz w:val="18"/>
                          </w:rPr>
                          <w:t>25</w:t>
                        </w:r>
                      </w:p>
                    </w:tc>
                    <w:tc>
                      <w:tcPr>
                        <w:tcW w:w="817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99"/>
                          <w:ind w:left="148" w:right="14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ND</w:t>
                        </w:r>
                      </w:p>
                    </w:tc>
                    <w:tc>
                      <w:tcPr>
                        <w:tcW w:w="736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99"/>
                          <w:ind w:left="0" w:right="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707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99"/>
                          <w:ind w:left="148" w:right="14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48</w:t>
                        </w:r>
                      </w:p>
                    </w:tc>
                    <w:tc>
                      <w:tcPr>
                        <w:tcW w:w="635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99"/>
                          <w:ind w:left="23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55</w:t>
                        </w:r>
                      </w:p>
                    </w:tc>
                    <w:tc>
                      <w:tcPr>
                        <w:tcW w:w="611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99"/>
                          <w:ind w:left="131" w:right="12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14.3</w:t>
                        </w:r>
                      </w:p>
                    </w:tc>
                    <w:tc>
                      <w:tcPr>
                        <w:tcW w:w="624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99"/>
                          <w:ind w:left="129" w:right="14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575</w:t>
                        </w:r>
                      </w:p>
                    </w:tc>
                    <w:tc>
                      <w:tcPr>
                        <w:tcW w:w="724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99"/>
                          <w:ind w:left="0" w:right="196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12.5</w:t>
                        </w:r>
                      </w:p>
                    </w:tc>
                    <w:tc>
                      <w:tcPr>
                        <w:tcW w:w="641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99"/>
                          <w:ind w:left="9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675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99"/>
                          <w:ind w:left="148" w:right="13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95.5</w:t>
                        </w:r>
                      </w:p>
                    </w:tc>
                    <w:tc>
                      <w:tcPr>
                        <w:tcW w:w="617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99"/>
                          <w:ind w:left="149" w:right="122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20</w:t>
                        </w:r>
                      </w:p>
                    </w:tc>
                  </w:tr>
                  <w:tr>
                    <w:trPr>
                      <w:trHeight w:val="413" w:hRule="atLeast"/>
                    </w:trPr>
                    <w:tc>
                      <w:tcPr>
                        <w:tcW w:w="2452" w:type="dxa"/>
                      </w:tcPr>
                      <w:p>
                        <w:pPr>
                          <w:pStyle w:val="TableParagraph"/>
                          <w:tabs>
                            <w:tab w:pos="2182" w:val="right" w:leader="none"/>
                          </w:tabs>
                          <w:spacing w:before="2"/>
                          <w:ind w:left="115"/>
                          <w:rPr>
                            <w:sz w:val="18"/>
                          </w:rPr>
                        </w:pPr>
                        <w:r>
                          <w:rPr>
                            <w:b/>
                            <w:i/>
                            <w:sz w:val="18"/>
                          </w:rPr>
                          <w:t>S.pneumoniae</w:t>
                          <w:tab/>
                        </w:r>
                        <w:r>
                          <w:rPr>
                            <w:position w:val="-9"/>
                            <w:sz w:val="18"/>
                          </w:rPr>
                          <w:t>9.1</w:t>
                        </w:r>
                      </w:p>
                    </w:tc>
                    <w:tc>
                      <w:tcPr>
                        <w:tcW w:w="817" w:type="dxa"/>
                      </w:tcPr>
                      <w:p>
                        <w:pPr>
                          <w:pStyle w:val="TableParagraph"/>
                          <w:spacing w:before="100"/>
                          <w:ind w:left="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736" w:type="dxa"/>
                      </w:tcPr>
                      <w:p>
                        <w:pPr>
                          <w:pStyle w:val="TableParagraph"/>
                          <w:spacing w:before="100"/>
                          <w:ind w:left="235" w:right="23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4.8</w:t>
                        </w:r>
                      </w:p>
                    </w:tc>
                    <w:tc>
                      <w:tcPr>
                        <w:tcW w:w="707" w:type="dxa"/>
                      </w:tcPr>
                      <w:p>
                        <w:pPr>
                          <w:pStyle w:val="TableParagraph"/>
                          <w:spacing w:before="100"/>
                          <w:ind w:left="148" w:right="14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4.8</w:t>
                        </w:r>
                      </w:p>
                    </w:tc>
                    <w:tc>
                      <w:tcPr>
                        <w:tcW w:w="635" w:type="dxa"/>
                      </w:tcPr>
                      <w:p>
                        <w:pPr>
                          <w:pStyle w:val="TableParagraph"/>
                          <w:spacing w:before="100"/>
                          <w:ind w:left="16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23.3</w:t>
                        </w:r>
                      </w:p>
                    </w:tc>
                    <w:tc>
                      <w:tcPr>
                        <w:tcW w:w="611" w:type="dxa"/>
                      </w:tcPr>
                      <w:p>
                        <w:pPr>
                          <w:pStyle w:val="TableParagraph"/>
                          <w:spacing w:before="100"/>
                          <w:ind w:left="131" w:right="12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27.8</w:t>
                        </w:r>
                      </w:p>
                    </w:tc>
                    <w:tc>
                      <w:tcPr>
                        <w:tcW w:w="624" w:type="dxa"/>
                      </w:tcPr>
                      <w:p>
                        <w:pPr>
                          <w:pStyle w:val="TableParagraph"/>
                          <w:spacing w:before="100"/>
                          <w:ind w:left="129" w:right="14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69.6</w:t>
                        </w:r>
                      </w:p>
                    </w:tc>
                    <w:tc>
                      <w:tcPr>
                        <w:tcW w:w="724" w:type="dxa"/>
                      </w:tcPr>
                      <w:p>
                        <w:pPr>
                          <w:pStyle w:val="TableParagraph"/>
                          <w:spacing w:before="100"/>
                          <w:ind w:left="0" w:right="196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21.4</w:t>
                        </w:r>
                      </w:p>
                    </w:tc>
                    <w:tc>
                      <w:tcPr>
                        <w:tcW w:w="641" w:type="dxa"/>
                      </w:tcPr>
                      <w:p>
                        <w:pPr>
                          <w:pStyle w:val="TableParagraph"/>
                          <w:spacing w:before="100"/>
                          <w:ind w:left="147" w:right="13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18.2</w:t>
                        </w:r>
                      </w:p>
                    </w:tc>
                    <w:tc>
                      <w:tcPr>
                        <w:tcW w:w="675" w:type="dxa"/>
                      </w:tcPr>
                      <w:p>
                        <w:pPr>
                          <w:pStyle w:val="TableParagraph"/>
                          <w:spacing w:before="100"/>
                          <w:ind w:left="148" w:right="13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81.8</w:t>
                        </w:r>
                      </w:p>
                    </w:tc>
                    <w:tc>
                      <w:tcPr>
                        <w:tcW w:w="617" w:type="dxa"/>
                      </w:tcPr>
                      <w:p>
                        <w:pPr>
                          <w:pStyle w:val="TableParagraph"/>
                          <w:spacing w:before="100"/>
                          <w:ind w:left="149" w:right="122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60</w:t>
                        </w:r>
                      </w:p>
                    </w:tc>
                  </w:tr>
                  <w:tr>
                    <w:trPr>
                      <w:trHeight w:val="414" w:hRule="atLeast"/>
                    </w:trPr>
                    <w:tc>
                      <w:tcPr>
                        <w:tcW w:w="2452" w:type="dxa"/>
                      </w:tcPr>
                      <w:p>
                        <w:pPr>
                          <w:pStyle w:val="TableParagraph"/>
                          <w:tabs>
                            <w:tab w:pos="2158" w:val="right" w:leader="none"/>
                          </w:tabs>
                          <w:ind w:left="115"/>
                          <w:rPr>
                            <w:sz w:val="18"/>
                          </w:rPr>
                        </w:pPr>
                        <w:r>
                          <w:rPr>
                            <w:b/>
                            <w:i/>
                            <w:sz w:val="18"/>
                          </w:rPr>
                          <w:t>E.coli</w:t>
                          <w:tab/>
                        </w:r>
                        <w:r>
                          <w:rPr>
                            <w:position w:val="-9"/>
                            <w:sz w:val="18"/>
                          </w:rPr>
                          <w:t>80</w:t>
                        </w:r>
                      </w:p>
                    </w:tc>
                    <w:tc>
                      <w:tcPr>
                        <w:tcW w:w="817" w:type="dxa"/>
                      </w:tcPr>
                      <w:p>
                        <w:pPr>
                          <w:pStyle w:val="TableParagraph"/>
                          <w:spacing w:before="99"/>
                          <w:ind w:left="148" w:right="14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</w:t>
                        </w:r>
                      </w:p>
                    </w:tc>
                    <w:tc>
                      <w:tcPr>
                        <w:tcW w:w="736" w:type="dxa"/>
                      </w:tcPr>
                      <w:p>
                        <w:pPr>
                          <w:pStyle w:val="TableParagraph"/>
                          <w:spacing w:before="99"/>
                          <w:ind w:left="23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ND</w:t>
                        </w:r>
                      </w:p>
                    </w:tc>
                    <w:tc>
                      <w:tcPr>
                        <w:tcW w:w="707" w:type="dxa"/>
                      </w:tcPr>
                      <w:p>
                        <w:pPr>
                          <w:pStyle w:val="TableParagraph"/>
                          <w:spacing w:before="99"/>
                          <w:ind w:left="148" w:right="14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25</w:t>
                        </w:r>
                      </w:p>
                    </w:tc>
                    <w:tc>
                      <w:tcPr>
                        <w:tcW w:w="635" w:type="dxa"/>
                      </w:tcPr>
                      <w:p>
                        <w:pPr>
                          <w:pStyle w:val="TableParagraph"/>
                          <w:spacing w:before="99"/>
                          <w:ind w:left="16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14.3</w:t>
                        </w:r>
                      </w:p>
                    </w:tc>
                    <w:tc>
                      <w:tcPr>
                        <w:tcW w:w="611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24" w:type="dxa"/>
                      </w:tcPr>
                      <w:p>
                        <w:pPr>
                          <w:pStyle w:val="TableParagraph"/>
                          <w:spacing w:before="99"/>
                          <w:ind w:left="129" w:right="14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33.3</w:t>
                        </w:r>
                      </w:p>
                    </w:tc>
                    <w:tc>
                      <w:tcPr>
                        <w:tcW w:w="724" w:type="dxa"/>
                      </w:tcPr>
                      <w:p>
                        <w:pPr>
                          <w:pStyle w:val="TableParagraph"/>
                          <w:spacing w:before="99"/>
                          <w:ind w:left="0" w:right="263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20</w:t>
                        </w:r>
                      </w:p>
                    </w:tc>
                    <w:tc>
                      <w:tcPr>
                        <w:tcW w:w="641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75" w:type="dxa"/>
                      </w:tcPr>
                      <w:p>
                        <w:pPr>
                          <w:pStyle w:val="TableParagraph"/>
                          <w:spacing w:before="99"/>
                          <w:ind w:left="148" w:right="13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</w:t>
                        </w:r>
                      </w:p>
                    </w:tc>
                    <w:tc>
                      <w:tcPr>
                        <w:tcW w:w="617" w:type="dxa"/>
                      </w:tcPr>
                      <w:p>
                        <w:pPr>
                          <w:pStyle w:val="TableParagraph"/>
                          <w:spacing w:before="99"/>
                          <w:ind w:left="149" w:right="122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</w:t>
                        </w:r>
                      </w:p>
                    </w:tc>
                  </w:tr>
                  <w:tr>
                    <w:trPr>
                      <w:trHeight w:val="414" w:hRule="atLeast"/>
                    </w:trPr>
                    <w:tc>
                      <w:tcPr>
                        <w:tcW w:w="2452" w:type="dxa"/>
                      </w:tcPr>
                      <w:p>
                        <w:pPr>
                          <w:pStyle w:val="TableParagraph"/>
                          <w:tabs>
                            <w:tab w:pos="1939" w:val="left" w:leader="none"/>
                          </w:tabs>
                          <w:spacing w:before="2"/>
                          <w:ind w:left="115"/>
                          <w:rPr>
                            <w:sz w:val="18"/>
                          </w:rPr>
                        </w:pPr>
                        <w:r>
                          <w:rPr>
                            <w:b/>
                            <w:i/>
                            <w:sz w:val="18"/>
                          </w:rPr>
                          <w:t>Salmonella</w:t>
                        </w:r>
                        <w:r>
                          <w:rPr>
                            <w:b/>
                            <w:i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i/>
                            <w:sz w:val="18"/>
                          </w:rPr>
                          <w:t>Spp.</w:t>
                          <w:tab/>
                        </w:r>
                        <w:r>
                          <w:rPr>
                            <w:position w:val="-9"/>
                            <w:sz w:val="18"/>
                          </w:rPr>
                          <w:t>ND</w:t>
                        </w:r>
                      </w:p>
                    </w:tc>
                    <w:tc>
                      <w:tcPr>
                        <w:tcW w:w="817" w:type="dxa"/>
                      </w:tcPr>
                      <w:p>
                        <w:pPr>
                          <w:pStyle w:val="TableParagraph"/>
                          <w:spacing w:before="100"/>
                          <w:ind w:left="148" w:right="14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</w:t>
                        </w:r>
                      </w:p>
                    </w:tc>
                    <w:tc>
                      <w:tcPr>
                        <w:tcW w:w="736" w:type="dxa"/>
                      </w:tcPr>
                      <w:p>
                        <w:pPr>
                          <w:pStyle w:val="TableParagraph"/>
                          <w:spacing w:before="100"/>
                          <w:ind w:left="23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</w:t>
                        </w:r>
                      </w:p>
                    </w:tc>
                    <w:tc>
                      <w:tcPr>
                        <w:tcW w:w="707" w:type="dxa"/>
                      </w:tcPr>
                      <w:p>
                        <w:pPr>
                          <w:pStyle w:val="TableParagraph"/>
                          <w:spacing w:before="100"/>
                          <w:ind w:left="148" w:right="14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</w:t>
                        </w:r>
                      </w:p>
                    </w:tc>
                    <w:tc>
                      <w:tcPr>
                        <w:tcW w:w="635" w:type="dxa"/>
                      </w:tcPr>
                      <w:p>
                        <w:pPr>
                          <w:pStyle w:val="TableParagraph"/>
                          <w:spacing w:before="100"/>
                          <w:ind w:left="279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611" w:type="dxa"/>
                      </w:tcPr>
                      <w:p>
                        <w:pPr>
                          <w:pStyle w:val="TableParagraph"/>
                          <w:spacing w:before="100"/>
                          <w:ind w:left="128" w:right="12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ND</w:t>
                        </w:r>
                      </w:p>
                    </w:tc>
                    <w:tc>
                      <w:tcPr>
                        <w:tcW w:w="624" w:type="dxa"/>
                      </w:tcPr>
                      <w:p>
                        <w:pPr>
                          <w:pStyle w:val="TableParagraph"/>
                          <w:spacing w:before="100"/>
                          <w:ind w:left="129" w:right="14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</w:t>
                        </w:r>
                      </w:p>
                    </w:tc>
                    <w:tc>
                      <w:tcPr>
                        <w:tcW w:w="724" w:type="dxa"/>
                      </w:tcPr>
                      <w:p>
                        <w:pPr>
                          <w:pStyle w:val="TableParagraph"/>
                          <w:spacing w:before="100"/>
                          <w:ind w:left="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641" w:type="dxa"/>
                      </w:tcPr>
                      <w:p>
                        <w:pPr>
                          <w:pStyle w:val="TableParagraph"/>
                          <w:spacing w:before="100"/>
                          <w:ind w:left="147" w:right="13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ND</w:t>
                        </w:r>
                      </w:p>
                    </w:tc>
                    <w:tc>
                      <w:tcPr>
                        <w:tcW w:w="675" w:type="dxa"/>
                      </w:tcPr>
                      <w:p>
                        <w:pPr>
                          <w:pStyle w:val="TableParagraph"/>
                          <w:spacing w:before="100"/>
                          <w:ind w:left="148" w:right="13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66.7</w:t>
                        </w:r>
                      </w:p>
                    </w:tc>
                    <w:tc>
                      <w:tcPr>
                        <w:tcW w:w="617" w:type="dxa"/>
                      </w:tcPr>
                      <w:p>
                        <w:pPr>
                          <w:pStyle w:val="TableParagraph"/>
                          <w:spacing w:before="100"/>
                          <w:ind w:left="149" w:right="122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</w:t>
                        </w:r>
                      </w:p>
                    </w:tc>
                  </w:tr>
                  <w:tr>
                    <w:trPr>
                      <w:trHeight w:val="414" w:hRule="atLeast"/>
                    </w:trPr>
                    <w:tc>
                      <w:tcPr>
                        <w:tcW w:w="2452" w:type="dxa"/>
                      </w:tcPr>
                      <w:p>
                        <w:pPr>
                          <w:pStyle w:val="TableParagraph"/>
                          <w:tabs>
                            <w:tab w:pos="2158" w:val="right" w:leader="none"/>
                          </w:tabs>
                          <w:ind w:left="115"/>
                          <w:rPr>
                            <w:sz w:val="18"/>
                          </w:rPr>
                        </w:pPr>
                        <w:r>
                          <w:rPr>
                            <w:b/>
                            <w:i/>
                            <w:sz w:val="18"/>
                          </w:rPr>
                          <w:t>S.aureus</w:t>
                          <w:tab/>
                        </w:r>
                        <w:r>
                          <w:rPr>
                            <w:position w:val="-9"/>
                            <w:sz w:val="18"/>
                          </w:rPr>
                          <w:t>50</w:t>
                        </w:r>
                      </w:p>
                    </w:tc>
                    <w:tc>
                      <w:tcPr>
                        <w:tcW w:w="817" w:type="dxa"/>
                      </w:tcPr>
                      <w:p>
                        <w:pPr>
                          <w:pStyle w:val="TableParagraph"/>
                          <w:spacing w:before="99"/>
                          <w:ind w:left="148" w:right="14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50</w:t>
                        </w:r>
                      </w:p>
                    </w:tc>
                    <w:tc>
                      <w:tcPr>
                        <w:tcW w:w="736" w:type="dxa"/>
                      </w:tcPr>
                      <w:p>
                        <w:pPr>
                          <w:pStyle w:val="TableParagraph"/>
                          <w:spacing w:before="99"/>
                          <w:ind w:left="235" w:right="23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25</w:t>
                        </w:r>
                      </w:p>
                    </w:tc>
                    <w:tc>
                      <w:tcPr>
                        <w:tcW w:w="707" w:type="dxa"/>
                      </w:tcPr>
                      <w:p>
                        <w:pPr>
                          <w:pStyle w:val="TableParagraph"/>
                          <w:spacing w:before="99"/>
                          <w:ind w:left="0" w:right="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635" w:type="dxa"/>
                      </w:tcPr>
                      <w:p>
                        <w:pPr>
                          <w:pStyle w:val="TableParagraph"/>
                          <w:spacing w:before="99"/>
                          <w:ind w:left="23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50</w:t>
                        </w:r>
                      </w:p>
                    </w:tc>
                    <w:tc>
                      <w:tcPr>
                        <w:tcW w:w="611" w:type="dxa"/>
                      </w:tcPr>
                      <w:p>
                        <w:pPr>
                          <w:pStyle w:val="TableParagraph"/>
                          <w:spacing w:before="99"/>
                          <w:ind w:left="131" w:right="12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33.3</w:t>
                        </w:r>
                      </w:p>
                    </w:tc>
                    <w:tc>
                      <w:tcPr>
                        <w:tcW w:w="624" w:type="dxa"/>
                      </w:tcPr>
                      <w:p>
                        <w:pPr>
                          <w:pStyle w:val="TableParagraph"/>
                          <w:spacing w:before="99"/>
                          <w:ind w:left="0" w:right="1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724" w:type="dxa"/>
                      </w:tcPr>
                      <w:p>
                        <w:pPr>
                          <w:pStyle w:val="TableParagraph"/>
                          <w:spacing w:before="99"/>
                          <w:ind w:left="0" w:right="227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ND</w:t>
                        </w:r>
                      </w:p>
                    </w:tc>
                    <w:tc>
                      <w:tcPr>
                        <w:tcW w:w="641" w:type="dxa"/>
                      </w:tcPr>
                      <w:p>
                        <w:pPr>
                          <w:pStyle w:val="TableParagraph"/>
                          <w:spacing w:before="99"/>
                          <w:ind w:left="147" w:right="13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33.3</w:t>
                        </w:r>
                      </w:p>
                    </w:tc>
                    <w:tc>
                      <w:tcPr>
                        <w:tcW w:w="675" w:type="dxa"/>
                      </w:tcPr>
                      <w:p>
                        <w:pPr>
                          <w:pStyle w:val="TableParagraph"/>
                          <w:spacing w:before="99"/>
                          <w:ind w:left="148" w:right="13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</w:t>
                        </w:r>
                      </w:p>
                    </w:tc>
                    <w:tc>
                      <w:tcPr>
                        <w:tcW w:w="617" w:type="dxa"/>
                      </w:tcPr>
                      <w:p>
                        <w:pPr>
                          <w:pStyle w:val="TableParagraph"/>
                          <w:spacing w:before="99"/>
                          <w:ind w:left="149" w:right="122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</w:t>
                        </w:r>
                      </w:p>
                    </w:tc>
                  </w:tr>
                  <w:tr>
                    <w:trPr>
                      <w:trHeight w:val="413" w:hRule="atLeast"/>
                    </w:trPr>
                    <w:tc>
                      <w:tcPr>
                        <w:tcW w:w="2452" w:type="dxa"/>
                      </w:tcPr>
                      <w:p>
                        <w:pPr>
                          <w:pStyle w:val="TableParagraph"/>
                          <w:tabs>
                            <w:tab w:pos="2158" w:val="right" w:leader="none"/>
                          </w:tabs>
                          <w:spacing w:before="2"/>
                          <w:ind w:left="115"/>
                          <w:rPr>
                            <w:sz w:val="18"/>
                          </w:rPr>
                        </w:pPr>
                        <w:r>
                          <w:rPr>
                            <w:b/>
                            <w:i/>
                            <w:sz w:val="18"/>
                          </w:rPr>
                          <w:t>H.influenzae</w:t>
                          <w:tab/>
                        </w:r>
                        <w:r>
                          <w:rPr>
                            <w:position w:val="-9"/>
                            <w:sz w:val="18"/>
                          </w:rPr>
                          <w:t>50</w:t>
                        </w:r>
                      </w:p>
                    </w:tc>
                    <w:tc>
                      <w:tcPr>
                        <w:tcW w:w="817" w:type="dxa"/>
                      </w:tcPr>
                      <w:p>
                        <w:pPr>
                          <w:pStyle w:val="TableParagraph"/>
                          <w:spacing w:before="100"/>
                          <w:ind w:left="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736" w:type="dxa"/>
                      </w:tcPr>
                      <w:p>
                        <w:pPr>
                          <w:pStyle w:val="TableParagraph"/>
                          <w:spacing w:before="100"/>
                          <w:ind w:left="0" w:right="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707" w:type="dxa"/>
                      </w:tcPr>
                      <w:p>
                        <w:pPr>
                          <w:pStyle w:val="TableParagraph"/>
                          <w:spacing w:before="100"/>
                          <w:ind w:left="0" w:right="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635" w:type="dxa"/>
                      </w:tcPr>
                      <w:p>
                        <w:pPr>
                          <w:pStyle w:val="TableParagraph"/>
                          <w:spacing w:before="100"/>
                          <w:ind w:left="279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611" w:type="dxa"/>
                      </w:tcPr>
                      <w:p>
                        <w:pPr>
                          <w:pStyle w:val="TableParagraph"/>
                          <w:spacing w:before="100"/>
                          <w:ind w:left="128" w:right="12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ND</w:t>
                        </w:r>
                      </w:p>
                    </w:tc>
                    <w:tc>
                      <w:tcPr>
                        <w:tcW w:w="624" w:type="dxa"/>
                      </w:tcPr>
                      <w:p>
                        <w:pPr>
                          <w:pStyle w:val="TableParagraph"/>
                          <w:spacing w:before="100"/>
                          <w:ind w:left="129" w:right="14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66.7</w:t>
                        </w:r>
                      </w:p>
                    </w:tc>
                    <w:tc>
                      <w:tcPr>
                        <w:tcW w:w="724" w:type="dxa"/>
                      </w:tcPr>
                      <w:p>
                        <w:pPr>
                          <w:pStyle w:val="TableParagraph"/>
                          <w:spacing w:before="100"/>
                          <w:ind w:left="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641" w:type="dxa"/>
                      </w:tcPr>
                      <w:p>
                        <w:pPr>
                          <w:pStyle w:val="TableParagraph"/>
                          <w:spacing w:before="100"/>
                          <w:ind w:left="147" w:right="13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33.3</w:t>
                        </w:r>
                      </w:p>
                    </w:tc>
                    <w:tc>
                      <w:tcPr>
                        <w:tcW w:w="675" w:type="dxa"/>
                      </w:tcPr>
                      <w:p>
                        <w:pPr>
                          <w:pStyle w:val="TableParagraph"/>
                          <w:spacing w:before="100"/>
                          <w:ind w:left="148" w:right="13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50</w:t>
                        </w:r>
                      </w:p>
                    </w:tc>
                    <w:tc>
                      <w:tcPr>
                        <w:tcW w:w="617" w:type="dxa"/>
                      </w:tcPr>
                      <w:p>
                        <w:pPr>
                          <w:pStyle w:val="TableParagraph"/>
                          <w:spacing w:before="100"/>
                          <w:ind w:left="149" w:right="12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ND</w:t>
                        </w:r>
                      </w:p>
                    </w:tc>
                  </w:tr>
                  <w:tr>
                    <w:trPr>
                      <w:trHeight w:val="413" w:hRule="atLeast"/>
                    </w:trPr>
                    <w:tc>
                      <w:tcPr>
                        <w:tcW w:w="2452" w:type="dxa"/>
                      </w:tcPr>
                      <w:p>
                        <w:pPr>
                          <w:pStyle w:val="TableParagraph"/>
                          <w:tabs>
                            <w:tab w:pos="2204" w:val="right" w:leader="none"/>
                          </w:tabs>
                          <w:ind w:left="115"/>
                          <w:rPr>
                            <w:sz w:val="18"/>
                          </w:rPr>
                        </w:pPr>
                        <w:r>
                          <w:rPr>
                            <w:b/>
                            <w:i/>
                            <w:sz w:val="18"/>
                          </w:rPr>
                          <w:t>Acinobacter</w:t>
                        </w:r>
                        <w:r>
                          <w:rPr>
                            <w:b/>
                            <w:i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i/>
                            <w:sz w:val="18"/>
                          </w:rPr>
                          <w:t>Spp</w:t>
                          <w:tab/>
                        </w:r>
                        <w:r>
                          <w:rPr>
                            <w:position w:val="-9"/>
                            <w:sz w:val="18"/>
                          </w:rPr>
                          <w:t>100</w:t>
                        </w:r>
                      </w:p>
                    </w:tc>
                    <w:tc>
                      <w:tcPr>
                        <w:tcW w:w="817" w:type="dxa"/>
                      </w:tcPr>
                      <w:p>
                        <w:pPr>
                          <w:pStyle w:val="TableParagraph"/>
                          <w:spacing w:before="99"/>
                          <w:ind w:left="148" w:right="14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ND</w:t>
                        </w:r>
                      </w:p>
                    </w:tc>
                    <w:tc>
                      <w:tcPr>
                        <w:tcW w:w="736" w:type="dxa"/>
                      </w:tcPr>
                      <w:p>
                        <w:pPr>
                          <w:pStyle w:val="TableParagraph"/>
                          <w:spacing w:before="99"/>
                          <w:ind w:left="0" w:right="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707" w:type="dxa"/>
                      </w:tcPr>
                      <w:p>
                        <w:pPr>
                          <w:pStyle w:val="TableParagraph"/>
                          <w:spacing w:before="99"/>
                          <w:ind w:left="148" w:right="14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50</w:t>
                        </w:r>
                      </w:p>
                    </w:tc>
                    <w:tc>
                      <w:tcPr>
                        <w:tcW w:w="635" w:type="dxa"/>
                      </w:tcPr>
                      <w:p>
                        <w:pPr>
                          <w:pStyle w:val="TableParagraph"/>
                          <w:spacing w:before="99"/>
                          <w:ind w:left="23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50</w:t>
                        </w:r>
                      </w:p>
                    </w:tc>
                    <w:tc>
                      <w:tcPr>
                        <w:tcW w:w="611" w:type="dxa"/>
                      </w:tcPr>
                      <w:p>
                        <w:pPr>
                          <w:pStyle w:val="TableParagraph"/>
                          <w:spacing w:before="99"/>
                          <w:ind w:left="128" w:right="12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ND</w:t>
                        </w:r>
                      </w:p>
                    </w:tc>
                    <w:tc>
                      <w:tcPr>
                        <w:tcW w:w="624" w:type="dxa"/>
                      </w:tcPr>
                      <w:p>
                        <w:pPr>
                          <w:pStyle w:val="TableParagraph"/>
                          <w:spacing w:before="99"/>
                          <w:ind w:left="129" w:right="14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</w:t>
                        </w:r>
                      </w:p>
                    </w:tc>
                    <w:tc>
                      <w:tcPr>
                        <w:tcW w:w="724" w:type="dxa"/>
                      </w:tcPr>
                      <w:p>
                        <w:pPr>
                          <w:pStyle w:val="TableParagraph"/>
                          <w:spacing w:before="99"/>
                          <w:ind w:left="0" w:right="21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</w:t>
                        </w:r>
                      </w:p>
                    </w:tc>
                    <w:tc>
                      <w:tcPr>
                        <w:tcW w:w="641" w:type="dxa"/>
                      </w:tcPr>
                      <w:p>
                        <w:pPr>
                          <w:pStyle w:val="TableParagraph"/>
                          <w:spacing w:before="99"/>
                          <w:ind w:left="147" w:right="13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</w:t>
                        </w:r>
                      </w:p>
                    </w:tc>
                    <w:tc>
                      <w:tcPr>
                        <w:tcW w:w="675" w:type="dxa"/>
                      </w:tcPr>
                      <w:p>
                        <w:pPr>
                          <w:pStyle w:val="TableParagraph"/>
                          <w:spacing w:before="99"/>
                          <w:ind w:left="148" w:right="13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</w:t>
                        </w:r>
                      </w:p>
                    </w:tc>
                    <w:tc>
                      <w:tcPr>
                        <w:tcW w:w="617" w:type="dxa"/>
                      </w:tcPr>
                      <w:p>
                        <w:pPr>
                          <w:pStyle w:val="TableParagraph"/>
                          <w:spacing w:before="99"/>
                          <w:ind w:left="149" w:right="122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50</w:t>
                        </w:r>
                      </w:p>
                    </w:tc>
                  </w:tr>
                  <w:tr>
                    <w:trPr>
                      <w:trHeight w:val="414" w:hRule="atLeast"/>
                    </w:trPr>
                    <w:tc>
                      <w:tcPr>
                        <w:tcW w:w="2452" w:type="dxa"/>
                      </w:tcPr>
                      <w:p>
                        <w:pPr>
                          <w:pStyle w:val="TableParagraph"/>
                          <w:tabs>
                            <w:tab w:pos="2023" w:val="left" w:leader="none"/>
                          </w:tabs>
                          <w:spacing w:before="2"/>
                          <w:ind w:left="115"/>
                          <w:rPr>
                            <w:sz w:val="18"/>
                          </w:rPr>
                        </w:pPr>
                        <w:r>
                          <w:rPr>
                            <w:b/>
                            <w:i/>
                            <w:sz w:val="18"/>
                          </w:rPr>
                          <w:t>Citrobacter</w:t>
                        </w:r>
                        <w:r>
                          <w:rPr>
                            <w:b/>
                            <w:i/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i/>
                            <w:sz w:val="18"/>
                          </w:rPr>
                          <w:t>Spp</w:t>
                          <w:tab/>
                        </w:r>
                        <w:r>
                          <w:rPr>
                            <w:position w:val="-9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817" w:type="dxa"/>
                      </w:tcPr>
                      <w:p>
                        <w:pPr>
                          <w:pStyle w:val="TableParagraph"/>
                          <w:spacing w:before="100"/>
                          <w:ind w:left="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736" w:type="dxa"/>
                      </w:tcPr>
                      <w:p>
                        <w:pPr>
                          <w:pStyle w:val="TableParagraph"/>
                          <w:spacing w:before="100"/>
                          <w:ind w:left="0" w:right="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707" w:type="dxa"/>
                      </w:tcPr>
                      <w:p>
                        <w:pPr>
                          <w:pStyle w:val="TableParagraph"/>
                          <w:spacing w:before="100"/>
                          <w:ind w:left="148" w:right="14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</w:t>
                        </w:r>
                      </w:p>
                    </w:tc>
                    <w:tc>
                      <w:tcPr>
                        <w:tcW w:w="635" w:type="dxa"/>
                      </w:tcPr>
                      <w:p>
                        <w:pPr>
                          <w:pStyle w:val="TableParagraph"/>
                          <w:spacing w:before="100"/>
                          <w:ind w:left="279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611" w:type="dxa"/>
                      </w:tcPr>
                      <w:p>
                        <w:pPr>
                          <w:pStyle w:val="TableParagraph"/>
                          <w:spacing w:before="100"/>
                          <w:ind w:left="2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624" w:type="dxa"/>
                      </w:tcPr>
                      <w:p>
                        <w:pPr>
                          <w:pStyle w:val="TableParagraph"/>
                          <w:spacing w:before="100"/>
                          <w:ind w:left="0" w:right="1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724" w:type="dxa"/>
                      </w:tcPr>
                      <w:p>
                        <w:pPr>
                          <w:pStyle w:val="TableParagraph"/>
                          <w:spacing w:before="100"/>
                          <w:ind w:left="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641" w:type="dxa"/>
                      </w:tcPr>
                      <w:p>
                        <w:pPr>
                          <w:pStyle w:val="TableParagraph"/>
                          <w:spacing w:before="100"/>
                          <w:ind w:left="147" w:right="13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ND</w:t>
                        </w:r>
                      </w:p>
                    </w:tc>
                    <w:tc>
                      <w:tcPr>
                        <w:tcW w:w="675" w:type="dxa"/>
                      </w:tcPr>
                      <w:p>
                        <w:pPr>
                          <w:pStyle w:val="TableParagraph"/>
                          <w:spacing w:before="100"/>
                          <w:ind w:left="9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617" w:type="dxa"/>
                      </w:tcPr>
                      <w:p>
                        <w:pPr>
                          <w:pStyle w:val="TableParagraph"/>
                          <w:spacing w:before="100"/>
                          <w:ind w:left="149" w:right="122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</w:t>
                        </w:r>
                      </w:p>
                    </w:tc>
                  </w:tr>
                  <w:tr>
                    <w:trPr>
                      <w:trHeight w:val="414" w:hRule="atLeast"/>
                    </w:trPr>
                    <w:tc>
                      <w:tcPr>
                        <w:tcW w:w="2452" w:type="dxa"/>
                      </w:tcPr>
                      <w:p>
                        <w:pPr>
                          <w:pStyle w:val="TableParagraph"/>
                          <w:tabs>
                            <w:tab w:pos="2204" w:val="right" w:leader="none"/>
                          </w:tabs>
                          <w:ind w:left="115"/>
                          <w:rPr>
                            <w:sz w:val="18"/>
                          </w:rPr>
                        </w:pPr>
                        <w:r>
                          <w:rPr>
                            <w:b/>
                            <w:i/>
                            <w:sz w:val="18"/>
                          </w:rPr>
                          <w:t>M.morgani</w:t>
                          <w:tab/>
                        </w:r>
                        <w:r>
                          <w:rPr>
                            <w:position w:val="-9"/>
                            <w:sz w:val="18"/>
                          </w:rPr>
                          <w:t>100</w:t>
                        </w:r>
                      </w:p>
                    </w:tc>
                    <w:tc>
                      <w:tcPr>
                        <w:tcW w:w="817" w:type="dxa"/>
                      </w:tcPr>
                      <w:p>
                        <w:pPr>
                          <w:pStyle w:val="TableParagraph"/>
                          <w:spacing w:before="99"/>
                          <w:ind w:left="148" w:right="14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</w:t>
                        </w:r>
                      </w:p>
                    </w:tc>
                    <w:tc>
                      <w:tcPr>
                        <w:tcW w:w="736" w:type="dxa"/>
                      </w:tcPr>
                      <w:p>
                        <w:pPr>
                          <w:pStyle w:val="TableParagraph"/>
                          <w:spacing w:before="99"/>
                          <w:ind w:left="0" w:right="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707" w:type="dxa"/>
                      </w:tcPr>
                      <w:p>
                        <w:pPr>
                          <w:pStyle w:val="TableParagraph"/>
                          <w:spacing w:before="99"/>
                          <w:ind w:left="0" w:right="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635" w:type="dxa"/>
                      </w:tcPr>
                      <w:p>
                        <w:pPr>
                          <w:pStyle w:val="TableParagraph"/>
                          <w:spacing w:before="99"/>
                          <w:ind w:left="279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611" w:type="dxa"/>
                      </w:tcPr>
                      <w:p>
                        <w:pPr>
                          <w:pStyle w:val="TableParagraph"/>
                          <w:spacing w:before="99"/>
                          <w:ind w:left="2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624" w:type="dxa"/>
                      </w:tcPr>
                      <w:p>
                        <w:pPr>
                          <w:pStyle w:val="TableParagraph"/>
                          <w:spacing w:before="99"/>
                          <w:ind w:left="0" w:right="1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724" w:type="dxa"/>
                      </w:tcPr>
                      <w:p>
                        <w:pPr>
                          <w:pStyle w:val="TableParagraph"/>
                          <w:spacing w:before="99"/>
                          <w:ind w:left="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641" w:type="dxa"/>
                      </w:tcPr>
                      <w:p>
                        <w:pPr>
                          <w:pStyle w:val="TableParagraph"/>
                          <w:spacing w:before="99"/>
                          <w:ind w:left="9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675" w:type="dxa"/>
                      </w:tcPr>
                      <w:p>
                        <w:pPr>
                          <w:pStyle w:val="TableParagraph"/>
                          <w:spacing w:before="99"/>
                          <w:ind w:left="148" w:right="13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</w:t>
                        </w:r>
                      </w:p>
                    </w:tc>
                    <w:tc>
                      <w:tcPr>
                        <w:tcW w:w="617" w:type="dxa"/>
                      </w:tcPr>
                      <w:p>
                        <w:pPr>
                          <w:pStyle w:val="TableParagraph"/>
                          <w:spacing w:before="99"/>
                          <w:ind w:left="149" w:right="122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</w:t>
                        </w:r>
                      </w:p>
                    </w:tc>
                  </w:tr>
                  <w:tr>
                    <w:trPr>
                      <w:trHeight w:val="413" w:hRule="atLeast"/>
                    </w:trPr>
                    <w:tc>
                      <w:tcPr>
                        <w:tcW w:w="2452" w:type="dxa"/>
                      </w:tcPr>
                      <w:p>
                        <w:pPr>
                          <w:pStyle w:val="TableParagraph"/>
                          <w:tabs>
                            <w:tab w:pos="2023" w:val="left" w:leader="none"/>
                          </w:tabs>
                          <w:spacing w:before="2"/>
                          <w:ind w:left="115"/>
                          <w:rPr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Varidian</w:t>
                          <w:tab/>
                        </w:r>
                        <w:r>
                          <w:rPr>
                            <w:position w:val="-9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817" w:type="dxa"/>
                      </w:tcPr>
                      <w:p>
                        <w:pPr>
                          <w:pStyle w:val="TableParagraph"/>
                          <w:spacing w:before="100"/>
                          <w:ind w:left="148" w:right="14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</w:t>
                        </w:r>
                      </w:p>
                    </w:tc>
                    <w:tc>
                      <w:tcPr>
                        <w:tcW w:w="736" w:type="dxa"/>
                      </w:tcPr>
                      <w:p>
                        <w:pPr>
                          <w:pStyle w:val="TableParagraph"/>
                          <w:spacing w:before="100"/>
                          <w:ind w:left="0" w:right="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707" w:type="dxa"/>
                      </w:tcPr>
                      <w:p>
                        <w:pPr>
                          <w:pStyle w:val="TableParagraph"/>
                          <w:spacing w:before="100"/>
                          <w:ind w:left="0" w:right="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635" w:type="dxa"/>
                      </w:tcPr>
                      <w:p>
                        <w:pPr>
                          <w:pStyle w:val="TableParagraph"/>
                          <w:spacing w:before="100"/>
                          <w:ind w:left="19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</w:t>
                        </w:r>
                      </w:p>
                    </w:tc>
                    <w:tc>
                      <w:tcPr>
                        <w:tcW w:w="611" w:type="dxa"/>
                      </w:tcPr>
                      <w:p>
                        <w:pPr>
                          <w:pStyle w:val="TableParagraph"/>
                          <w:spacing w:before="100"/>
                          <w:ind w:left="131" w:right="12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</w:t>
                        </w:r>
                      </w:p>
                    </w:tc>
                    <w:tc>
                      <w:tcPr>
                        <w:tcW w:w="624" w:type="dxa"/>
                      </w:tcPr>
                      <w:p>
                        <w:pPr>
                          <w:pStyle w:val="TableParagraph"/>
                          <w:spacing w:before="100"/>
                          <w:ind w:left="129" w:right="14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</w:t>
                        </w:r>
                      </w:p>
                    </w:tc>
                    <w:tc>
                      <w:tcPr>
                        <w:tcW w:w="724" w:type="dxa"/>
                      </w:tcPr>
                      <w:p>
                        <w:pPr>
                          <w:pStyle w:val="TableParagraph"/>
                          <w:spacing w:before="100"/>
                          <w:ind w:left="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641" w:type="dxa"/>
                      </w:tcPr>
                      <w:p>
                        <w:pPr>
                          <w:pStyle w:val="TableParagraph"/>
                          <w:spacing w:before="100"/>
                          <w:ind w:left="9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675" w:type="dxa"/>
                      </w:tcPr>
                      <w:p>
                        <w:pPr>
                          <w:pStyle w:val="TableParagraph"/>
                          <w:spacing w:before="100"/>
                          <w:ind w:left="148" w:right="13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</w:t>
                        </w:r>
                      </w:p>
                    </w:tc>
                    <w:tc>
                      <w:tcPr>
                        <w:tcW w:w="617" w:type="dxa"/>
                      </w:tcPr>
                      <w:p>
                        <w:pPr>
                          <w:pStyle w:val="TableParagraph"/>
                          <w:spacing w:before="100"/>
                          <w:ind w:left="149" w:right="12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ND</w:t>
                        </w:r>
                      </w:p>
                    </w:tc>
                  </w:tr>
                  <w:tr>
                    <w:trPr>
                      <w:trHeight w:val="413" w:hRule="atLeast"/>
                    </w:trPr>
                    <w:tc>
                      <w:tcPr>
                        <w:tcW w:w="2452" w:type="dxa"/>
                      </w:tcPr>
                      <w:p>
                        <w:pPr>
                          <w:pStyle w:val="TableParagraph"/>
                          <w:tabs>
                            <w:tab w:pos="2204" w:val="right" w:leader="none"/>
                          </w:tabs>
                          <w:ind w:left="115"/>
                          <w:rPr>
                            <w:sz w:val="18"/>
                          </w:rPr>
                        </w:pPr>
                        <w:r>
                          <w:rPr>
                            <w:b/>
                            <w:i/>
                            <w:sz w:val="18"/>
                          </w:rPr>
                          <w:t>Proteus</w:t>
                        </w:r>
                        <w:r>
                          <w:rPr>
                            <w:b/>
                            <w:i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Spp.</w:t>
                          <w:tab/>
                        </w:r>
                        <w:r>
                          <w:rPr>
                            <w:position w:val="-9"/>
                            <w:sz w:val="18"/>
                          </w:rPr>
                          <w:t>100</w:t>
                        </w:r>
                      </w:p>
                    </w:tc>
                    <w:tc>
                      <w:tcPr>
                        <w:tcW w:w="817" w:type="dxa"/>
                      </w:tcPr>
                      <w:p>
                        <w:pPr>
                          <w:pStyle w:val="TableParagraph"/>
                          <w:spacing w:before="99"/>
                          <w:ind w:left="148" w:right="14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</w:t>
                        </w:r>
                      </w:p>
                    </w:tc>
                    <w:tc>
                      <w:tcPr>
                        <w:tcW w:w="736" w:type="dxa"/>
                      </w:tcPr>
                      <w:p>
                        <w:pPr>
                          <w:pStyle w:val="TableParagraph"/>
                          <w:spacing w:before="99"/>
                          <w:ind w:left="23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</w:t>
                        </w:r>
                      </w:p>
                    </w:tc>
                    <w:tc>
                      <w:tcPr>
                        <w:tcW w:w="707" w:type="dxa"/>
                      </w:tcPr>
                      <w:p>
                        <w:pPr>
                          <w:pStyle w:val="TableParagraph"/>
                          <w:spacing w:before="99"/>
                          <w:ind w:left="148" w:right="14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</w:t>
                        </w:r>
                      </w:p>
                    </w:tc>
                    <w:tc>
                      <w:tcPr>
                        <w:tcW w:w="635" w:type="dxa"/>
                      </w:tcPr>
                      <w:p>
                        <w:pPr>
                          <w:pStyle w:val="TableParagraph"/>
                          <w:spacing w:before="99"/>
                          <w:ind w:left="19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</w:t>
                        </w:r>
                      </w:p>
                    </w:tc>
                    <w:tc>
                      <w:tcPr>
                        <w:tcW w:w="611" w:type="dxa"/>
                      </w:tcPr>
                      <w:p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24" w:type="dxa"/>
                      </w:tcPr>
                      <w:p>
                        <w:pPr>
                          <w:pStyle w:val="TableParagraph"/>
                          <w:spacing w:before="99"/>
                          <w:ind w:left="129" w:right="14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</w:t>
                        </w:r>
                      </w:p>
                    </w:tc>
                    <w:tc>
                      <w:tcPr>
                        <w:tcW w:w="724" w:type="dxa"/>
                      </w:tcPr>
                      <w:p>
                        <w:pPr>
                          <w:pStyle w:val="TableParagraph"/>
                          <w:spacing w:before="99"/>
                          <w:ind w:left="0" w:right="21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</w:t>
                        </w:r>
                      </w:p>
                    </w:tc>
                    <w:tc>
                      <w:tcPr>
                        <w:tcW w:w="641" w:type="dxa"/>
                      </w:tcPr>
                      <w:p>
                        <w:pPr>
                          <w:pStyle w:val="TableParagraph"/>
                          <w:spacing w:before="99"/>
                          <w:ind w:left="147" w:right="13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ND</w:t>
                        </w:r>
                      </w:p>
                    </w:tc>
                    <w:tc>
                      <w:tcPr>
                        <w:tcW w:w="675" w:type="dxa"/>
                      </w:tcPr>
                      <w:p>
                        <w:pPr>
                          <w:pStyle w:val="TableParagraph"/>
                          <w:spacing w:before="99"/>
                          <w:ind w:left="146" w:right="13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ND</w:t>
                        </w:r>
                      </w:p>
                    </w:tc>
                    <w:tc>
                      <w:tcPr>
                        <w:tcW w:w="617" w:type="dxa"/>
                      </w:tcPr>
                      <w:p>
                        <w:pPr>
                          <w:pStyle w:val="TableParagraph"/>
                          <w:spacing w:before="99"/>
                          <w:ind w:left="149" w:right="12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ND</w:t>
                        </w:r>
                      </w:p>
                    </w:tc>
                  </w:tr>
                  <w:tr>
                    <w:trPr>
                      <w:trHeight w:val="413" w:hRule="atLeast"/>
                    </w:trPr>
                    <w:tc>
                      <w:tcPr>
                        <w:tcW w:w="2452" w:type="dxa"/>
                      </w:tcPr>
                      <w:p>
                        <w:pPr>
                          <w:pStyle w:val="TableParagraph"/>
                          <w:tabs>
                            <w:tab w:pos="2204" w:val="right" w:leader="none"/>
                          </w:tabs>
                          <w:spacing w:before="2"/>
                          <w:ind w:left="115"/>
                          <w:rPr>
                            <w:sz w:val="18"/>
                          </w:rPr>
                        </w:pPr>
                        <w:r>
                          <w:rPr>
                            <w:b/>
                            <w:i/>
                            <w:sz w:val="18"/>
                          </w:rPr>
                          <w:t>Providentia Spp.</w:t>
                          <w:tab/>
                        </w:r>
                        <w:r>
                          <w:rPr>
                            <w:position w:val="-9"/>
                            <w:sz w:val="18"/>
                          </w:rPr>
                          <w:t>100</w:t>
                        </w:r>
                      </w:p>
                    </w:tc>
                    <w:tc>
                      <w:tcPr>
                        <w:tcW w:w="817" w:type="dxa"/>
                      </w:tcPr>
                      <w:p>
                        <w:pPr>
                          <w:pStyle w:val="TableParagraph"/>
                          <w:spacing w:before="100"/>
                          <w:ind w:left="148" w:right="14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</w:t>
                        </w:r>
                      </w:p>
                    </w:tc>
                    <w:tc>
                      <w:tcPr>
                        <w:tcW w:w="736" w:type="dxa"/>
                      </w:tcPr>
                      <w:p>
                        <w:pPr>
                          <w:pStyle w:val="TableParagraph"/>
                          <w:spacing w:before="100"/>
                          <w:ind w:left="23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</w:t>
                        </w:r>
                      </w:p>
                    </w:tc>
                    <w:tc>
                      <w:tcPr>
                        <w:tcW w:w="707" w:type="dxa"/>
                      </w:tcPr>
                      <w:p>
                        <w:pPr>
                          <w:pStyle w:val="TableParagraph"/>
                          <w:spacing w:before="100"/>
                          <w:ind w:left="148" w:right="14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</w:t>
                        </w:r>
                      </w:p>
                    </w:tc>
                    <w:tc>
                      <w:tcPr>
                        <w:tcW w:w="635" w:type="dxa"/>
                      </w:tcPr>
                      <w:p>
                        <w:pPr>
                          <w:pStyle w:val="TableParagraph"/>
                          <w:spacing w:before="100"/>
                          <w:ind w:left="19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ND</w:t>
                        </w:r>
                      </w:p>
                    </w:tc>
                    <w:tc>
                      <w:tcPr>
                        <w:tcW w:w="611" w:type="dxa"/>
                      </w:tcPr>
                      <w:p>
                        <w:pPr>
                          <w:pStyle w:val="TableParagraph"/>
                          <w:spacing w:before="100"/>
                          <w:ind w:left="128" w:right="12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ND</w:t>
                        </w:r>
                      </w:p>
                    </w:tc>
                    <w:tc>
                      <w:tcPr>
                        <w:tcW w:w="624" w:type="dxa"/>
                      </w:tcPr>
                      <w:p>
                        <w:pPr>
                          <w:pStyle w:val="TableParagraph"/>
                          <w:spacing w:before="100"/>
                          <w:ind w:left="129" w:right="14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</w:t>
                        </w:r>
                      </w:p>
                    </w:tc>
                    <w:tc>
                      <w:tcPr>
                        <w:tcW w:w="724" w:type="dxa"/>
                      </w:tcPr>
                      <w:p>
                        <w:pPr>
                          <w:pStyle w:val="TableParagraph"/>
                          <w:spacing w:before="100"/>
                          <w:ind w:left="0" w:right="227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ND</w:t>
                        </w:r>
                      </w:p>
                    </w:tc>
                    <w:tc>
                      <w:tcPr>
                        <w:tcW w:w="641" w:type="dxa"/>
                      </w:tcPr>
                      <w:p>
                        <w:pPr>
                          <w:pStyle w:val="TableParagraph"/>
                          <w:spacing w:before="100"/>
                          <w:ind w:left="147" w:right="13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</w:t>
                        </w:r>
                      </w:p>
                    </w:tc>
                    <w:tc>
                      <w:tcPr>
                        <w:tcW w:w="675" w:type="dxa"/>
                      </w:tcPr>
                      <w:p>
                        <w:pPr>
                          <w:pStyle w:val="TableParagraph"/>
                          <w:spacing w:before="100"/>
                          <w:ind w:left="148" w:right="13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</w:t>
                        </w:r>
                      </w:p>
                    </w:tc>
                    <w:tc>
                      <w:tcPr>
                        <w:tcW w:w="617" w:type="dxa"/>
                      </w:tcPr>
                      <w:p>
                        <w:pPr>
                          <w:pStyle w:val="TableParagraph"/>
                          <w:spacing w:before="100"/>
                          <w:ind w:left="149" w:right="12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ND</w:t>
                        </w:r>
                      </w:p>
                    </w:tc>
                  </w:tr>
                  <w:tr>
                    <w:trPr>
                      <w:trHeight w:val="414" w:hRule="atLeast"/>
                    </w:trPr>
                    <w:tc>
                      <w:tcPr>
                        <w:tcW w:w="245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2023" w:val="left" w:leader="none"/>
                          </w:tabs>
                          <w:ind w:left="115"/>
                          <w:rPr>
                            <w:sz w:val="18"/>
                          </w:rPr>
                        </w:pPr>
                        <w:r>
                          <w:rPr>
                            <w:b/>
                            <w:i/>
                            <w:sz w:val="18"/>
                          </w:rPr>
                          <w:t>Pseudomonas</w:t>
                        </w:r>
                        <w:r>
                          <w:rPr>
                            <w:b/>
                            <w:i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i/>
                            <w:sz w:val="18"/>
                          </w:rPr>
                          <w:t>Spp</w:t>
                          <w:tab/>
                        </w:r>
                        <w:r>
                          <w:rPr>
                            <w:position w:val="-9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81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99"/>
                          <w:ind w:left="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736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99"/>
                          <w:ind w:left="0" w:right="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70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99"/>
                          <w:ind w:left="0" w:right="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635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99"/>
                          <w:ind w:left="279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61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99"/>
                          <w:ind w:left="2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624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99"/>
                          <w:ind w:left="0" w:right="1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724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99"/>
                          <w:ind w:left="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64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99"/>
                          <w:ind w:left="9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675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99"/>
                          <w:ind w:left="9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61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99"/>
                          <w:ind w:left="22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0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b/>
          <w:sz w:val="18"/>
        </w:rPr>
        <w:t>(n=23)</w:t>
      </w:r>
    </w:p>
    <w:p>
      <w:pPr>
        <w:pStyle w:val="BodyText"/>
        <w:spacing w:before="1"/>
        <w:rPr>
          <w:b/>
          <w:sz w:val="18"/>
        </w:rPr>
      </w:pPr>
    </w:p>
    <w:p>
      <w:pPr>
        <w:spacing w:before="0"/>
        <w:ind w:left="220" w:right="0" w:firstLine="0"/>
        <w:jc w:val="left"/>
        <w:rPr>
          <w:b/>
          <w:sz w:val="18"/>
        </w:rPr>
      </w:pPr>
      <w:r>
        <w:rPr>
          <w:b/>
          <w:sz w:val="18"/>
        </w:rPr>
        <w:t>(n=25)</w:t>
      </w:r>
    </w:p>
    <w:p>
      <w:pPr>
        <w:pStyle w:val="BodyText"/>
        <w:spacing w:before="11"/>
        <w:rPr>
          <w:b/>
          <w:sz w:val="17"/>
        </w:rPr>
      </w:pPr>
    </w:p>
    <w:p>
      <w:pPr>
        <w:spacing w:before="0"/>
        <w:ind w:left="220" w:right="0" w:firstLine="0"/>
        <w:jc w:val="left"/>
        <w:rPr>
          <w:b/>
          <w:sz w:val="18"/>
        </w:rPr>
      </w:pPr>
      <w:r>
        <w:rPr>
          <w:b/>
          <w:sz w:val="18"/>
        </w:rPr>
        <w:t>(n=8)</w:t>
      </w:r>
    </w:p>
    <w:p>
      <w:pPr>
        <w:pStyle w:val="BodyText"/>
        <w:spacing w:before="1"/>
        <w:rPr>
          <w:b/>
          <w:sz w:val="18"/>
        </w:rPr>
      </w:pPr>
    </w:p>
    <w:p>
      <w:pPr>
        <w:spacing w:before="0"/>
        <w:ind w:left="220" w:right="0" w:firstLine="0"/>
        <w:jc w:val="left"/>
        <w:rPr>
          <w:b/>
          <w:sz w:val="18"/>
        </w:rPr>
      </w:pPr>
      <w:r>
        <w:rPr>
          <w:b/>
          <w:sz w:val="18"/>
        </w:rPr>
        <w:t>(n=3)</w:t>
      </w:r>
    </w:p>
    <w:p>
      <w:pPr>
        <w:pStyle w:val="BodyText"/>
        <w:spacing w:before="10"/>
        <w:rPr>
          <w:b/>
          <w:sz w:val="17"/>
        </w:rPr>
      </w:pPr>
    </w:p>
    <w:p>
      <w:pPr>
        <w:spacing w:before="0"/>
        <w:ind w:left="220" w:right="0" w:firstLine="0"/>
        <w:jc w:val="left"/>
        <w:rPr>
          <w:b/>
          <w:sz w:val="18"/>
        </w:rPr>
      </w:pPr>
      <w:r>
        <w:rPr>
          <w:b/>
          <w:sz w:val="18"/>
        </w:rPr>
        <w:t>(n=4)</w:t>
      </w:r>
    </w:p>
    <w:p>
      <w:pPr>
        <w:pStyle w:val="BodyText"/>
        <w:spacing w:before="1"/>
        <w:rPr>
          <w:b/>
          <w:sz w:val="18"/>
        </w:rPr>
      </w:pPr>
    </w:p>
    <w:p>
      <w:pPr>
        <w:spacing w:before="1"/>
        <w:ind w:left="220" w:right="0" w:firstLine="0"/>
        <w:jc w:val="left"/>
        <w:rPr>
          <w:b/>
          <w:sz w:val="18"/>
        </w:rPr>
      </w:pPr>
      <w:r>
        <w:rPr>
          <w:b/>
          <w:sz w:val="18"/>
        </w:rPr>
        <w:t>(n=4)</w:t>
      </w:r>
    </w:p>
    <w:p>
      <w:pPr>
        <w:pStyle w:val="BodyText"/>
        <w:spacing w:before="10"/>
        <w:rPr>
          <w:b/>
          <w:sz w:val="17"/>
        </w:rPr>
      </w:pPr>
    </w:p>
    <w:p>
      <w:pPr>
        <w:spacing w:before="0"/>
        <w:ind w:left="220" w:right="0" w:firstLine="0"/>
        <w:jc w:val="left"/>
        <w:rPr>
          <w:b/>
          <w:sz w:val="18"/>
        </w:rPr>
      </w:pPr>
      <w:r>
        <w:rPr>
          <w:b/>
          <w:sz w:val="18"/>
        </w:rPr>
        <w:t>(n=2)</w:t>
      </w:r>
    </w:p>
    <w:p>
      <w:pPr>
        <w:pStyle w:val="BodyText"/>
        <w:spacing w:before="1"/>
        <w:rPr>
          <w:b/>
          <w:sz w:val="18"/>
        </w:rPr>
      </w:pPr>
    </w:p>
    <w:p>
      <w:pPr>
        <w:spacing w:before="0"/>
        <w:ind w:left="220" w:right="0" w:firstLine="0"/>
        <w:jc w:val="left"/>
        <w:rPr>
          <w:b/>
          <w:sz w:val="18"/>
        </w:rPr>
      </w:pPr>
      <w:r>
        <w:rPr>
          <w:b/>
          <w:sz w:val="18"/>
        </w:rPr>
        <w:t>(n=1)</w:t>
      </w:r>
    </w:p>
    <w:p>
      <w:pPr>
        <w:pStyle w:val="BodyText"/>
        <w:spacing w:before="10"/>
        <w:rPr>
          <w:b/>
          <w:sz w:val="17"/>
        </w:rPr>
      </w:pPr>
    </w:p>
    <w:p>
      <w:pPr>
        <w:spacing w:before="0"/>
        <w:ind w:left="220" w:right="0" w:firstLine="0"/>
        <w:jc w:val="left"/>
        <w:rPr>
          <w:b/>
          <w:sz w:val="18"/>
        </w:rPr>
      </w:pPr>
      <w:r>
        <w:rPr>
          <w:b/>
          <w:sz w:val="18"/>
        </w:rPr>
        <w:t>(n=1)</w:t>
      </w:r>
    </w:p>
    <w:p>
      <w:pPr>
        <w:pStyle w:val="BodyText"/>
        <w:spacing w:before="1"/>
        <w:rPr>
          <w:b/>
          <w:sz w:val="18"/>
        </w:rPr>
      </w:pPr>
    </w:p>
    <w:p>
      <w:pPr>
        <w:spacing w:line="477" w:lineRule="auto" w:before="1"/>
        <w:ind w:left="220" w:right="7835" w:firstLine="0"/>
        <w:jc w:val="left"/>
        <w:rPr>
          <w:b/>
          <w:sz w:val="18"/>
        </w:rPr>
      </w:pPr>
      <w:r>
        <w:rPr>
          <w:b/>
          <w:spacing w:val="-1"/>
          <w:sz w:val="18"/>
        </w:rPr>
        <w:t>Streptococci </w:t>
      </w:r>
      <w:r>
        <w:rPr>
          <w:b/>
          <w:sz w:val="18"/>
        </w:rPr>
        <w:t>(n=1)</w:t>
      </w:r>
      <w:r>
        <w:rPr>
          <w:b/>
          <w:spacing w:val="-42"/>
          <w:sz w:val="18"/>
        </w:rPr>
        <w:t> </w:t>
      </w:r>
      <w:r>
        <w:rPr>
          <w:b/>
          <w:sz w:val="18"/>
        </w:rPr>
        <w:t>(n=1)</w:t>
      </w:r>
    </w:p>
    <w:p>
      <w:pPr>
        <w:spacing w:before="4"/>
        <w:ind w:left="220" w:right="0" w:firstLine="0"/>
        <w:jc w:val="left"/>
        <w:rPr>
          <w:b/>
          <w:sz w:val="18"/>
        </w:rPr>
      </w:pPr>
      <w:r>
        <w:rPr>
          <w:b/>
          <w:sz w:val="18"/>
        </w:rPr>
        <w:t>(n=1)</w:t>
      </w:r>
    </w:p>
    <w:p>
      <w:pPr>
        <w:pStyle w:val="BodyText"/>
        <w:spacing w:before="10"/>
        <w:rPr>
          <w:b/>
          <w:sz w:val="17"/>
        </w:rPr>
      </w:pPr>
    </w:p>
    <w:p>
      <w:pPr>
        <w:spacing w:before="0"/>
        <w:ind w:left="220" w:right="0" w:firstLine="0"/>
        <w:jc w:val="left"/>
        <w:rPr>
          <w:b/>
          <w:sz w:val="18"/>
        </w:rPr>
      </w:pPr>
      <w:r>
        <w:rPr>
          <w:b/>
          <w:sz w:val="18"/>
        </w:rPr>
        <w:t>(n=1)</w:t>
      </w:r>
    </w:p>
    <w:p>
      <w:pPr>
        <w:pStyle w:val="BodyText"/>
        <w:spacing w:line="276" w:lineRule="auto" w:before="7"/>
        <w:ind w:left="220" w:right="216"/>
        <w:jc w:val="both"/>
      </w:pPr>
      <w:r>
        <w:rPr/>
        <w:t>Key: AMX= Amoxcillin; AMPI= Ampicillin; CRO=Ceftriaxone; CAF= Chloramphenicol; CIP= Ciprofloxacin;</w:t>
      </w:r>
      <w:r>
        <w:rPr>
          <w:spacing w:val="1"/>
        </w:rPr>
        <w:t> </w:t>
      </w:r>
      <w:r>
        <w:rPr/>
        <w:t>E=</w:t>
      </w:r>
      <w:r>
        <w:rPr>
          <w:spacing w:val="1"/>
        </w:rPr>
        <w:t> </w:t>
      </w:r>
      <w:r>
        <w:rPr/>
        <w:t>Erythromycin;</w:t>
      </w:r>
      <w:r>
        <w:rPr>
          <w:spacing w:val="1"/>
        </w:rPr>
        <w:t> </w:t>
      </w:r>
      <w:r>
        <w:rPr/>
        <w:t>CN=</w:t>
      </w:r>
      <w:r>
        <w:rPr>
          <w:spacing w:val="1"/>
        </w:rPr>
        <w:t> </w:t>
      </w:r>
      <w:r>
        <w:rPr/>
        <w:t>Gentamycin;</w:t>
      </w:r>
      <w:r>
        <w:rPr>
          <w:spacing w:val="1"/>
        </w:rPr>
        <w:t> </w:t>
      </w:r>
      <w:r>
        <w:rPr/>
        <w:t>NOR=</w:t>
      </w:r>
      <w:r>
        <w:rPr>
          <w:spacing w:val="1"/>
        </w:rPr>
        <w:t> </w:t>
      </w:r>
      <w:r>
        <w:rPr/>
        <w:t>Norfloxacin;</w:t>
      </w:r>
      <w:r>
        <w:rPr>
          <w:spacing w:val="1"/>
        </w:rPr>
        <w:t> </w:t>
      </w:r>
      <w:r>
        <w:rPr/>
        <w:t>PG=</w:t>
      </w:r>
      <w:r>
        <w:rPr>
          <w:spacing w:val="1"/>
        </w:rPr>
        <w:t> </w:t>
      </w:r>
      <w:r>
        <w:rPr/>
        <w:t>Penicillin;</w:t>
      </w:r>
      <w:r>
        <w:rPr>
          <w:spacing w:val="1"/>
        </w:rPr>
        <w:t> </w:t>
      </w:r>
      <w:r>
        <w:rPr/>
        <w:t>SXT=</w:t>
      </w:r>
      <w:r>
        <w:rPr>
          <w:spacing w:val="1"/>
        </w:rPr>
        <w:t> </w:t>
      </w:r>
      <w:r>
        <w:rPr/>
        <w:t>Cotrimoxazole;</w:t>
      </w:r>
      <w:r>
        <w:rPr>
          <w:spacing w:val="1"/>
        </w:rPr>
        <w:t> </w:t>
      </w:r>
      <w:r>
        <w:rPr/>
        <w:t>TE=</w:t>
      </w:r>
      <w:r>
        <w:rPr>
          <w:spacing w:val="1"/>
        </w:rPr>
        <w:t> </w:t>
      </w:r>
      <w:r>
        <w:rPr/>
        <w:t>Tetracycline;</w:t>
      </w:r>
      <w:r>
        <w:rPr>
          <w:spacing w:val="-1"/>
        </w:rPr>
        <w:t> </w:t>
      </w:r>
      <w:r>
        <w:rPr/>
        <w:t>ND = Not done.</w:t>
      </w:r>
    </w:p>
    <w:p>
      <w:pPr>
        <w:pStyle w:val="Heading2"/>
        <w:spacing w:before="182"/>
      </w:pPr>
      <w:r>
        <w:rPr/>
        <w:t>Discussion</w:t>
      </w:r>
    </w:p>
    <w:p>
      <w:pPr>
        <w:spacing w:after="0"/>
        <w:sectPr>
          <w:pgSz w:w="11910" w:h="16840"/>
          <w:pgMar w:header="722" w:footer="748" w:top="1340" w:bottom="940" w:left="1220" w:right="1220"/>
        </w:sectPr>
      </w:pPr>
    </w:p>
    <w:p>
      <w:pPr>
        <w:pStyle w:val="BodyText"/>
        <w:spacing w:line="276" w:lineRule="auto" w:before="97"/>
        <w:ind w:left="220" w:right="38"/>
        <w:jc w:val="both"/>
      </w:pPr>
      <w:r>
        <w:rPr/>
        <w:t>The finding of this retrospective study showed that</w:t>
      </w:r>
      <w:r>
        <w:rPr>
          <w:spacing w:val="1"/>
        </w:rPr>
        <w:t> </w:t>
      </w:r>
      <w:r>
        <w:rPr>
          <w:i/>
        </w:rPr>
        <w:t>N.meningitides</w:t>
      </w:r>
      <w:r>
        <w:rPr/>
        <w:t>,</w:t>
      </w:r>
      <w:r>
        <w:rPr>
          <w:spacing w:val="1"/>
        </w:rPr>
        <w:t> </w:t>
      </w:r>
      <w:r>
        <w:rPr>
          <w:i/>
        </w:rPr>
        <w:t>S.pneumonia</w:t>
      </w:r>
      <w:r>
        <w:rPr>
          <w:i/>
          <w:spacing w:val="1"/>
        </w:rPr>
        <w:t> </w:t>
      </w:r>
      <w:r>
        <w:rPr/>
        <w:t>and</w:t>
      </w:r>
      <w:r>
        <w:rPr>
          <w:spacing w:val="51"/>
        </w:rPr>
        <w:t> </w:t>
      </w:r>
      <w:r>
        <w:rPr>
          <w:i/>
        </w:rPr>
        <w:t>H.influenzae</w:t>
      </w:r>
      <w:r>
        <w:rPr>
          <w:i/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most</w:t>
      </w:r>
      <w:r>
        <w:rPr>
          <w:spacing w:val="1"/>
        </w:rPr>
        <w:t> </w:t>
      </w:r>
      <w:r>
        <w:rPr/>
        <w:t>common</w:t>
      </w:r>
      <w:r>
        <w:rPr>
          <w:spacing w:val="1"/>
        </w:rPr>
        <w:t> </w:t>
      </w:r>
      <w:r>
        <w:rPr/>
        <w:t>isolated</w:t>
      </w:r>
      <w:r>
        <w:rPr>
          <w:spacing w:val="1"/>
        </w:rPr>
        <w:t> </w:t>
      </w:r>
      <w:r>
        <w:rPr/>
        <w:t>pathogens</w:t>
      </w:r>
      <w:r>
        <w:rPr>
          <w:spacing w:val="1"/>
        </w:rPr>
        <w:t> </w:t>
      </w:r>
      <w:r>
        <w:rPr/>
        <w:t>from</w:t>
      </w:r>
      <w:r>
        <w:rPr>
          <w:spacing w:val="-47"/>
        </w:rPr>
        <w:t> </w:t>
      </w:r>
      <w:r>
        <w:rPr/>
        <w:t>meningitis patients. Despite the differences in the</w:t>
      </w:r>
      <w:r>
        <w:rPr>
          <w:spacing w:val="1"/>
        </w:rPr>
        <w:t> </w:t>
      </w:r>
      <w:r>
        <w:rPr/>
        <w:t>isolation</w:t>
      </w:r>
      <w:r>
        <w:rPr>
          <w:spacing w:val="1"/>
        </w:rPr>
        <w:t> </w:t>
      </w:r>
      <w:r>
        <w:rPr/>
        <w:t>rate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common</w:t>
      </w:r>
      <w:r>
        <w:rPr>
          <w:spacing w:val="1"/>
        </w:rPr>
        <w:t> </w:t>
      </w:r>
      <w:r>
        <w:rPr/>
        <w:t>isolates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this</w:t>
      </w:r>
      <w:r>
        <w:rPr>
          <w:spacing w:val="50"/>
        </w:rPr>
        <w:t> </w:t>
      </w:r>
      <w:r>
        <w:rPr/>
        <w:t>study</w:t>
      </w:r>
      <w:r>
        <w:rPr>
          <w:spacing w:val="-47"/>
        </w:rPr>
        <w:t> </w:t>
      </w:r>
      <w:r>
        <w:rPr/>
        <w:t>were</w:t>
      </w:r>
      <w:r>
        <w:rPr>
          <w:spacing w:val="1"/>
        </w:rPr>
        <w:t> </w:t>
      </w:r>
      <w:r>
        <w:rPr/>
        <w:t>similar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previous</w:t>
      </w:r>
      <w:r>
        <w:rPr>
          <w:spacing w:val="1"/>
        </w:rPr>
        <w:t> </w:t>
      </w:r>
      <w:r>
        <w:rPr/>
        <w:t>reports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the</w:t>
      </w:r>
      <w:r>
        <w:rPr>
          <w:spacing w:val="-47"/>
        </w:rPr>
        <w:t> </w:t>
      </w:r>
      <w:r>
        <w:rPr/>
        <w:t>study</w:t>
      </w:r>
      <w:r>
        <w:rPr>
          <w:spacing w:val="1"/>
        </w:rPr>
        <w:t> </w:t>
      </w:r>
      <w:r>
        <w:rPr/>
        <w:t>area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elsewhere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world</w:t>
      </w:r>
      <w:r>
        <w:rPr>
          <w:spacing w:val="1"/>
        </w:rPr>
        <w:t> </w:t>
      </w:r>
      <w:r>
        <w:rPr/>
        <w:t>Gondar,</w:t>
      </w:r>
      <w:r>
        <w:rPr>
          <w:spacing w:val="1"/>
        </w:rPr>
        <w:t> </w:t>
      </w:r>
      <w:r>
        <w:rPr>
          <w:spacing w:val="-1"/>
        </w:rPr>
        <w:t>Egypt, and </w:t>
      </w:r>
      <w:r>
        <w:rPr/>
        <w:t>Niger</w:t>
      </w:r>
      <w:r>
        <w:rPr>
          <w:vertAlign w:val="superscript"/>
        </w:rPr>
        <w:t>1,</w:t>
      </w:r>
      <w:r>
        <w:rPr>
          <w:vertAlign w:val="baseline"/>
        </w:rPr>
        <w:t> </w:t>
      </w:r>
      <w:r>
        <w:rPr>
          <w:vertAlign w:val="superscript"/>
        </w:rPr>
        <w:t>12,</w:t>
      </w:r>
      <w:r>
        <w:rPr>
          <w:vertAlign w:val="baseline"/>
        </w:rPr>
        <w:t> </w:t>
      </w:r>
      <w:r>
        <w:rPr>
          <w:vertAlign w:val="superscript"/>
        </w:rPr>
        <w:t>13</w:t>
      </w:r>
      <w:r>
        <w:rPr>
          <w:vertAlign w:val="baseline"/>
        </w:rPr>
        <w:t>. On the other hand </w:t>
      </w:r>
      <w:r>
        <w:rPr>
          <w:i/>
          <w:vertAlign w:val="baseline"/>
        </w:rPr>
        <w:t>S.aureus</w:t>
      </w:r>
      <w:r>
        <w:rPr>
          <w:i/>
          <w:spacing w:val="-47"/>
          <w:vertAlign w:val="baseline"/>
        </w:rPr>
        <w:t> </w:t>
      </w:r>
      <w:r>
        <w:rPr>
          <w:vertAlign w:val="baseline"/>
        </w:rPr>
        <w:t>and </w:t>
      </w:r>
      <w:r>
        <w:rPr>
          <w:i/>
          <w:vertAlign w:val="baseline"/>
        </w:rPr>
        <w:t>K.pneumoniae </w:t>
      </w:r>
      <w:r>
        <w:rPr>
          <w:vertAlign w:val="baseline"/>
        </w:rPr>
        <w:t>were reported as predominant</w:t>
      </w:r>
      <w:r>
        <w:rPr>
          <w:spacing w:val="1"/>
          <w:vertAlign w:val="baseline"/>
        </w:rPr>
        <w:t> </w:t>
      </w:r>
      <w:r>
        <w:rPr>
          <w:vertAlign w:val="baseline"/>
        </w:rPr>
        <w:t>isolates in other studies</w:t>
      </w:r>
      <w:r>
        <w:rPr>
          <w:vertAlign w:val="superscript"/>
        </w:rPr>
        <w:t>14,</w:t>
      </w:r>
      <w:r>
        <w:rPr>
          <w:vertAlign w:val="baseline"/>
        </w:rPr>
        <w:t> </w:t>
      </w:r>
      <w:r>
        <w:rPr>
          <w:vertAlign w:val="superscript"/>
        </w:rPr>
        <w:t>15</w:t>
      </w:r>
      <w:r>
        <w:rPr>
          <w:vertAlign w:val="baseline"/>
        </w:rPr>
        <w:t>. The overall isolation</w:t>
      </w:r>
      <w:r>
        <w:rPr>
          <w:spacing w:val="1"/>
          <w:vertAlign w:val="baseline"/>
        </w:rPr>
        <w:t> </w:t>
      </w:r>
      <w:r>
        <w:rPr>
          <w:vertAlign w:val="baseline"/>
        </w:rPr>
        <w:t>rate of bacteria in the present study, 4.3%, is lower</w:t>
      </w:r>
      <w:r>
        <w:rPr>
          <w:spacing w:val="1"/>
          <w:vertAlign w:val="baseline"/>
        </w:rPr>
        <w:t> </w:t>
      </w:r>
      <w:r>
        <w:rPr>
          <w:vertAlign w:val="baseline"/>
        </w:rPr>
        <w:t>than the previous studies conducted in Gondar</w:t>
      </w:r>
      <w:r>
        <w:rPr>
          <w:vertAlign w:val="superscript"/>
        </w:rPr>
        <w:t>1</w:t>
      </w:r>
      <w:r>
        <w:rPr>
          <w:vertAlign w:val="baseline"/>
        </w:rPr>
        <w:t> and</w:t>
      </w:r>
      <w:r>
        <w:rPr>
          <w:spacing w:val="-47"/>
          <w:vertAlign w:val="baseline"/>
        </w:rPr>
        <w:t> </w:t>
      </w:r>
      <w:r>
        <w:rPr>
          <w:vertAlign w:val="baseline"/>
        </w:rPr>
        <w:t>in Egypt</w:t>
      </w:r>
      <w:r>
        <w:rPr>
          <w:vertAlign w:val="superscript"/>
        </w:rPr>
        <w:t>12</w:t>
      </w:r>
      <w:r>
        <w:rPr>
          <w:vertAlign w:val="baseline"/>
        </w:rPr>
        <w:t> which reported an isolation rate of 5.6 %</w:t>
      </w:r>
      <w:r>
        <w:rPr>
          <w:spacing w:val="-47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7.1%</w:t>
      </w:r>
      <w:r>
        <w:rPr>
          <w:spacing w:val="1"/>
          <w:vertAlign w:val="baseline"/>
        </w:rPr>
        <w:t> </w:t>
      </w:r>
      <w:r>
        <w:rPr>
          <w:vertAlign w:val="baseline"/>
        </w:rPr>
        <w:t>respectively.</w:t>
      </w:r>
      <w:r>
        <w:rPr>
          <w:spacing w:val="1"/>
          <w:vertAlign w:val="baseline"/>
        </w:rPr>
        <w:t> </w:t>
      </w:r>
      <w:r>
        <w:rPr>
          <w:i/>
          <w:vertAlign w:val="baseline"/>
        </w:rPr>
        <w:t>S.pneumoniae,</w:t>
      </w:r>
      <w:r>
        <w:rPr>
          <w:i/>
          <w:spacing w:val="1"/>
          <w:vertAlign w:val="baseline"/>
        </w:rPr>
        <w:t> </w:t>
      </w:r>
      <w:r>
        <w:rPr>
          <w:i/>
          <w:vertAlign w:val="baseline"/>
        </w:rPr>
        <w:t>N.</w:t>
      </w:r>
      <w:r>
        <w:rPr>
          <w:i/>
          <w:spacing w:val="1"/>
          <w:vertAlign w:val="baseline"/>
        </w:rPr>
        <w:t> </w:t>
      </w:r>
      <w:r>
        <w:rPr>
          <w:i/>
          <w:vertAlign w:val="baseline"/>
        </w:rPr>
        <w:t>meningitides </w:t>
      </w:r>
      <w:r>
        <w:rPr>
          <w:vertAlign w:val="baseline"/>
        </w:rPr>
        <w:t>and </w:t>
      </w:r>
      <w:r>
        <w:rPr>
          <w:i/>
          <w:vertAlign w:val="baseline"/>
        </w:rPr>
        <w:t>H. influenza </w:t>
      </w:r>
      <w:r>
        <w:rPr>
          <w:vertAlign w:val="baseline"/>
        </w:rPr>
        <w:t>were the causes of</w:t>
      </w:r>
      <w:r>
        <w:rPr>
          <w:spacing w:val="1"/>
          <w:vertAlign w:val="baseline"/>
        </w:rPr>
        <w:t> </w:t>
      </w:r>
      <w:r>
        <w:rPr>
          <w:vertAlign w:val="baseline"/>
        </w:rPr>
        <w:t>68.4% cases of bacterial meningitis and this was</w:t>
      </w:r>
      <w:r>
        <w:rPr>
          <w:spacing w:val="1"/>
          <w:vertAlign w:val="baseline"/>
        </w:rPr>
        <w:t> </w:t>
      </w:r>
      <w:r>
        <w:rPr>
          <w:vertAlign w:val="baseline"/>
        </w:rPr>
        <w:t>lower than the previous study conducted in Gondar</w:t>
      </w:r>
      <w:r>
        <w:rPr>
          <w:spacing w:val="1"/>
          <w:vertAlign w:val="baseline"/>
        </w:rPr>
        <w:t> </w:t>
      </w:r>
      <w:r>
        <w:rPr>
          <w:vertAlign w:val="baseline"/>
        </w:rPr>
        <w:t>which was 81% </w:t>
      </w:r>
      <w:r>
        <w:rPr>
          <w:vertAlign w:val="superscript"/>
        </w:rPr>
        <w:t>[1]</w:t>
      </w:r>
      <w:r>
        <w:rPr>
          <w:vertAlign w:val="baseline"/>
        </w:rPr>
        <w:t>. It was also lower than the report</w:t>
      </w:r>
      <w:r>
        <w:rPr>
          <w:spacing w:val="-47"/>
          <w:vertAlign w:val="baseline"/>
        </w:rPr>
        <w:t> </w:t>
      </w:r>
      <w:r>
        <w:rPr>
          <w:vertAlign w:val="baseline"/>
        </w:rPr>
        <w:t>from Egypt and Togo which reported an isolation</w:t>
      </w:r>
      <w:r>
        <w:rPr>
          <w:spacing w:val="1"/>
          <w:vertAlign w:val="baseline"/>
        </w:rPr>
        <w:t> </w:t>
      </w:r>
      <w:r>
        <w:rPr>
          <w:vertAlign w:val="baseline"/>
        </w:rPr>
        <w:t>rate of 85% and 72.2% respectively</w:t>
      </w:r>
      <w:r>
        <w:rPr>
          <w:vertAlign w:val="superscript"/>
        </w:rPr>
        <w:t>12,</w:t>
      </w:r>
      <w:r>
        <w:rPr>
          <w:vertAlign w:val="baseline"/>
        </w:rPr>
        <w:t> </w:t>
      </w:r>
      <w:r>
        <w:rPr>
          <w:vertAlign w:val="superscript"/>
        </w:rPr>
        <w:t>16,</w:t>
      </w:r>
      <w:r>
        <w:rPr>
          <w:vertAlign w:val="baseline"/>
        </w:rPr>
        <w:t> </w:t>
      </w:r>
      <w:r>
        <w:rPr>
          <w:vertAlign w:val="superscript"/>
        </w:rPr>
        <w:t>17</w:t>
      </w:r>
      <w:r>
        <w:rPr>
          <w:vertAlign w:val="baseline"/>
        </w:rPr>
        <w:t>. The</w:t>
      </w:r>
      <w:r>
        <w:rPr>
          <w:spacing w:val="1"/>
          <w:vertAlign w:val="baseline"/>
        </w:rPr>
        <w:t> </w:t>
      </w:r>
      <w:r>
        <w:rPr>
          <w:vertAlign w:val="baseline"/>
        </w:rPr>
        <w:t>differences were also observed in the isolation rate</w:t>
      </w:r>
      <w:r>
        <w:rPr>
          <w:spacing w:val="1"/>
          <w:vertAlign w:val="baseline"/>
        </w:rPr>
        <w:t> </w:t>
      </w:r>
      <w:r>
        <w:rPr>
          <w:vertAlign w:val="baseline"/>
        </w:rPr>
        <w:t>across</w:t>
      </w:r>
      <w:r>
        <w:rPr>
          <w:spacing w:val="1"/>
          <w:vertAlign w:val="baseline"/>
        </w:rPr>
        <w:t> </w:t>
      </w:r>
      <w:r>
        <w:rPr>
          <w:vertAlign w:val="baseline"/>
        </w:rPr>
        <w:t>different</w:t>
      </w:r>
      <w:r>
        <w:rPr>
          <w:spacing w:val="1"/>
          <w:vertAlign w:val="baseline"/>
        </w:rPr>
        <w:t> </w:t>
      </w:r>
      <w:r>
        <w:rPr>
          <w:vertAlign w:val="baseline"/>
        </w:rPr>
        <w:t>age</w:t>
      </w:r>
      <w:r>
        <w:rPr>
          <w:spacing w:val="1"/>
          <w:vertAlign w:val="baseline"/>
        </w:rPr>
        <w:t> </w:t>
      </w:r>
      <w:r>
        <w:rPr>
          <w:vertAlign w:val="baseline"/>
        </w:rPr>
        <w:t>groups</w:t>
      </w:r>
      <w:r>
        <w:rPr>
          <w:spacing w:val="1"/>
          <w:vertAlign w:val="baseline"/>
        </w:rPr>
        <w:t> </w:t>
      </w:r>
      <w:r>
        <w:rPr>
          <w:vertAlign w:val="baseline"/>
        </w:rPr>
        <w:t>when</w:t>
      </w:r>
      <w:r>
        <w:rPr>
          <w:spacing w:val="1"/>
          <w:vertAlign w:val="baseline"/>
        </w:rPr>
        <w:t> </w:t>
      </w:r>
      <w:r>
        <w:rPr>
          <w:vertAlign w:val="baseline"/>
        </w:rPr>
        <w:t>compared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spacing w:val="-1"/>
          <w:vertAlign w:val="baseline"/>
        </w:rPr>
        <w:t>studies from</w:t>
      </w:r>
      <w:r>
        <w:rPr>
          <w:spacing w:val="-4"/>
          <w:vertAlign w:val="baseline"/>
        </w:rPr>
        <w:t> </w:t>
      </w:r>
      <w:r>
        <w:rPr>
          <w:spacing w:val="-1"/>
          <w:vertAlign w:val="baseline"/>
        </w:rPr>
        <w:t>other</w:t>
      </w:r>
      <w:r>
        <w:rPr>
          <w:spacing w:val="1"/>
          <w:vertAlign w:val="baseline"/>
        </w:rPr>
        <w:t> </w:t>
      </w:r>
      <w:r>
        <w:rPr>
          <w:spacing w:val="-1"/>
          <w:vertAlign w:val="baseline"/>
        </w:rPr>
        <w:t>areas</w:t>
      </w:r>
      <w:r>
        <w:rPr>
          <w:spacing w:val="-1"/>
          <w:vertAlign w:val="superscript"/>
        </w:rPr>
        <w:t>7,</w:t>
      </w:r>
      <w:r>
        <w:rPr>
          <w:spacing w:val="-16"/>
          <w:vertAlign w:val="baseline"/>
        </w:rPr>
        <w:t> </w:t>
      </w:r>
      <w:r>
        <w:rPr>
          <w:vertAlign w:val="superscript"/>
        </w:rPr>
        <w:t>18,</w:t>
      </w:r>
      <w:r>
        <w:rPr>
          <w:spacing w:val="-16"/>
          <w:vertAlign w:val="baseline"/>
        </w:rPr>
        <w:t> </w:t>
      </w:r>
      <w:r>
        <w:rPr>
          <w:vertAlign w:val="superscript"/>
        </w:rPr>
        <w:t>19</w:t>
      </w:r>
      <w:r>
        <w:rPr>
          <w:vertAlign w:val="baseline"/>
        </w:rPr>
        <w:t>.</w:t>
      </w:r>
      <w:r>
        <w:rPr>
          <w:spacing w:val="-2"/>
          <w:vertAlign w:val="baseline"/>
        </w:rPr>
        <w:t> </w:t>
      </w:r>
      <w:r>
        <w:rPr>
          <w:vertAlign w:val="baseline"/>
        </w:rPr>
        <w:t>These differences in</w:t>
      </w:r>
    </w:p>
    <w:p>
      <w:pPr>
        <w:pStyle w:val="BodyText"/>
        <w:spacing w:line="276" w:lineRule="auto" w:before="94"/>
        <w:ind w:left="220" w:right="223"/>
        <w:jc w:val="both"/>
      </w:pPr>
      <w:r>
        <w:rPr/>
        <w:br w:type="column"/>
      </w:r>
      <w:r>
        <w:rPr/>
        <w:t>the</w:t>
      </w:r>
      <w:r>
        <w:rPr>
          <w:spacing w:val="1"/>
        </w:rPr>
        <w:t> </w:t>
      </w:r>
      <w:r>
        <w:rPr/>
        <w:t>isolation</w:t>
      </w:r>
      <w:r>
        <w:rPr>
          <w:spacing w:val="1"/>
        </w:rPr>
        <w:t> </w:t>
      </w:r>
      <w:r>
        <w:rPr/>
        <w:t>rate</w:t>
      </w:r>
      <w:r>
        <w:rPr>
          <w:spacing w:val="1"/>
        </w:rPr>
        <w:t> </w:t>
      </w:r>
      <w:r>
        <w:rPr/>
        <w:t>may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associated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prior</w:t>
      </w:r>
      <w:r>
        <w:rPr>
          <w:spacing w:val="1"/>
        </w:rPr>
        <w:t> </w:t>
      </w:r>
      <w:r>
        <w:rPr/>
        <w:t>exposure to antibiotics, over clinical diagnosis of</w:t>
      </w:r>
      <w:r>
        <w:rPr>
          <w:spacing w:val="1"/>
        </w:rPr>
        <w:t> </w:t>
      </w:r>
      <w:r>
        <w:rPr/>
        <w:t>meningitis,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time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studies</w:t>
      </w:r>
      <w:r>
        <w:rPr>
          <w:spacing w:val="50"/>
        </w:rPr>
        <w:t> </w:t>
      </w:r>
      <w:r>
        <w:rPr/>
        <w:t>conducted</w:t>
      </w:r>
      <w:r>
        <w:rPr>
          <w:spacing w:val="1"/>
        </w:rPr>
        <w:t> </w:t>
      </w:r>
      <w:r>
        <w:rPr/>
        <w:t>during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epidemic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near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50"/>
        </w:rPr>
        <w:t> </w:t>
      </w:r>
      <w:r>
        <w:rPr/>
        <w:t>epidemic</w:t>
      </w:r>
      <w:r>
        <w:rPr>
          <w:spacing w:val="1"/>
        </w:rPr>
        <w:t> </w:t>
      </w:r>
      <w:r>
        <w:rPr/>
        <w:t>season</w:t>
      </w:r>
      <w:r>
        <w:rPr>
          <w:spacing w:val="-2"/>
        </w:rPr>
        <w:t> </w:t>
      </w:r>
      <w:r>
        <w:rPr/>
        <w:t>or</w:t>
      </w:r>
      <w:r>
        <w:rPr>
          <w:spacing w:val="1"/>
        </w:rPr>
        <w:t> </w:t>
      </w:r>
      <w:r>
        <w:rPr/>
        <w:t>laboratory</w:t>
      </w:r>
      <w:r>
        <w:rPr>
          <w:spacing w:val="-5"/>
        </w:rPr>
        <w:t> </w:t>
      </w:r>
      <w:r>
        <w:rPr/>
        <w:t>procedures</w:t>
      </w:r>
      <w:r>
        <w:rPr>
          <w:spacing w:val="-1"/>
        </w:rPr>
        <w:t> </w:t>
      </w:r>
      <w:r>
        <w:rPr/>
        <w:t>followed.</w:t>
      </w:r>
    </w:p>
    <w:p>
      <w:pPr>
        <w:pStyle w:val="BodyText"/>
        <w:rPr>
          <w:sz w:val="23"/>
        </w:rPr>
      </w:pPr>
    </w:p>
    <w:p>
      <w:pPr>
        <w:pStyle w:val="BodyText"/>
        <w:spacing w:line="276" w:lineRule="auto"/>
        <w:ind w:left="220" w:right="219"/>
        <w:jc w:val="both"/>
      </w:pPr>
      <w:r>
        <w:rPr/>
        <w:t>Antimicrobial</w:t>
      </w:r>
      <w:r>
        <w:rPr>
          <w:spacing w:val="1"/>
        </w:rPr>
        <w:t> </w:t>
      </w:r>
      <w:r>
        <w:rPr/>
        <w:t>resistance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>
          <w:i/>
        </w:rPr>
        <w:t>S.</w:t>
      </w:r>
      <w:r>
        <w:rPr>
          <w:i/>
          <w:spacing w:val="1"/>
        </w:rPr>
        <w:t> </w:t>
      </w:r>
      <w:r>
        <w:rPr>
          <w:i/>
        </w:rPr>
        <w:t>pneumoniae,</w:t>
      </w:r>
      <w:r>
        <w:rPr>
          <w:i/>
          <w:spacing w:val="1"/>
        </w:rPr>
        <w:t> </w:t>
      </w:r>
      <w:r>
        <w:rPr>
          <w:i/>
        </w:rPr>
        <w:t>N.</w:t>
      </w:r>
      <w:r>
        <w:rPr>
          <w:i/>
          <w:spacing w:val="1"/>
        </w:rPr>
        <w:t> </w:t>
      </w:r>
      <w:r>
        <w:rPr>
          <w:i/>
        </w:rPr>
        <w:t>Menigitidis</w:t>
      </w:r>
      <w:r>
        <w:rPr>
          <w:i/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>
          <w:i/>
        </w:rPr>
        <w:t>H.</w:t>
      </w:r>
      <w:r>
        <w:rPr>
          <w:i/>
          <w:spacing w:val="1"/>
        </w:rPr>
        <w:t> </w:t>
      </w:r>
      <w:r>
        <w:rPr>
          <w:i/>
        </w:rPr>
        <w:t>influenza</w:t>
      </w:r>
      <w:r>
        <w:rPr>
          <w:i/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commonly</w:t>
      </w:r>
      <w:r>
        <w:rPr>
          <w:spacing w:val="-47"/>
        </w:rPr>
        <w:t> </w:t>
      </w:r>
      <w:r>
        <w:rPr/>
        <w:t>prescribed antibiotics has become common now a</w:t>
      </w:r>
      <w:r>
        <w:rPr>
          <w:spacing w:val="1"/>
        </w:rPr>
        <w:t> </w:t>
      </w:r>
      <w:r>
        <w:rPr/>
        <w:t>day</w:t>
      </w:r>
      <w:r>
        <w:rPr>
          <w:vertAlign w:val="superscript"/>
        </w:rPr>
        <w:t>2,</w:t>
      </w:r>
      <w:r>
        <w:rPr>
          <w:vertAlign w:val="baseline"/>
        </w:rPr>
        <w:t> </w:t>
      </w:r>
      <w:r>
        <w:rPr>
          <w:vertAlign w:val="superscript"/>
        </w:rPr>
        <w:t>20</w:t>
      </w:r>
      <w:r>
        <w:rPr>
          <w:vertAlign w:val="baseline"/>
        </w:rPr>
        <w:t>. Several of other bacteria also developed</w:t>
      </w:r>
      <w:r>
        <w:rPr>
          <w:spacing w:val="1"/>
          <w:vertAlign w:val="baseline"/>
        </w:rPr>
        <w:t> </w:t>
      </w:r>
      <w:r>
        <w:rPr>
          <w:vertAlign w:val="baseline"/>
        </w:rPr>
        <w:t>antimicrobial resistance to conventional antibiotic</w:t>
      </w:r>
      <w:r>
        <w:rPr>
          <w:spacing w:val="1"/>
          <w:vertAlign w:val="baseline"/>
        </w:rPr>
        <w:t> </w:t>
      </w:r>
      <w:r>
        <w:rPr>
          <w:vertAlign w:val="baseline"/>
        </w:rPr>
        <w:t>regimens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emerging</w:t>
      </w:r>
      <w:r>
        <w:rPr>
          <w:spacing w:val="1"/>
          <w:vertAlign w:val="baseline"/>
        </w:rPr>
        <w:t> </w:t>
      </w:r>
      <w:r>
        <w:rPr>
          <w:vertAlign w:val="baseline"/>
        </w:rPr>
        <w:t>multidrug</w:t>
      </w:r>
      <w:r>
        <w:rPr>
          <w:spacing w:val="1"/>
          <w:vertAlign w:val="baseline"/>
        </w:rPr>
        <w:t> </w:t>
      </w:r>
      <w:r>
        <w:rPr>
          <w:vertAlign w:val="baseline"/>
        </w:rPr>
        <w:t>resistance</w:t>
      </w:r>
      <w:r>
        <w:rPr>
          <w:spacing w:val="1"/>
          <w:vertAlign w:val="baseline"/>
        </w:rPr>
        <w:t> </w:t>
      </w:r>
      <w:r>
        <w:rPr>
          <w:vertAlign w:val="baseline"/>
        </w:rPr>
        <w:t>strains</w:t>
      </w:r>
      <w:r>
        <w:rPr>
          <w:vertAlign w:val="superscript"/>
        </w:rPr>
        <w:t>21</w:t>
      </w:r>
      <w:r>
        <w:rPr>
          <w:vertAlign w:val="baseline"/>
        </w:rPr>
        <w:t>. A study conducted in the same area of the</w:t>
      </w:r>
      <w:r>
        <w:rPr>
          <w:spacing w:val="1"/>
          <w:vertAlign w:val="baseline"/>
        </w:rPr>
        <w:t> </w:t>
      </w:r>
      <w:r>
        <w:rPr>
          <w:vertAlign w:val="baseline"/>
        </w:rPr>
        <w:t>country reported that </w:t>
      </w:r>
      <w:r>
        <w:rPr>
          <w:i/>
          <w:vertAlign w:val="baseline"/>
        </w:rPr>
        <w:t>S. pnenumoniae </w:t>
      </w:r>
      <w:r>
        <w:rPr>
          <w:vertAlign w:val="baseline"/>
        </w:rPr>
        <w:t>isolated from</w:t>
      </w:r>
      <w:r>
        <w:rPr>
          <w:spacing w:val="-47"/>
          <w:vertAlign w:val="baseline"/>
        </w:rPr>
        <w:t> </w:t>
      </w:r>
      <w:r>
        <w:rPr>
          <w:vertAlign w:val="baseline"/>
        </w:rPr>
        <w:t>pediatric patient was resistant to amoxicillin (43%),</w:t>
      </w:r>
      <w:r>
        <w:rPr>
          <w:spacing w:val="-47"/>
          <w:vertAlign w:val="baseline"/>
        </w:rPr>
        <w:t> </w:t>
      </w:r>
      <w:r>
        <w:rPr>
          <w:vertAlign w:val="baseline"/>
        </w:rPr>
        <w:t>gentamycin     </w:t>
      </w:r>
      <w:r>
        <w:rPr>
          <w:spacing w:val="48"/>
          <w:vertAlign w:val="baseline"/>
        </w:rPr>
        <w:t> </w:t>
      </w:r>
      <w:r>
        <w:rPr>
          <w:vertAlign w:val="baseline"/>
        </w:rPr>
        <w:t>(14%),       cotrimoxazol     </w:t>
      </w:r>
      <w:r>
        <w:rPr>
          <w:spacing w:val="49"/>
          <w:vertAlign w:val="baseline"/>
        </w:rPr>
        <w:t> </w:t>
      </w:r>
      <w:r>
        <w:rPr>
          <w:vertAlign w:val="baseline"/>
        </w:rPr>
        <w:t>(43%),</w:t>
      </w:r>
    </w:p>
    <w:p>
      <w:pPr>
        <w:pStyle w:val="BodyText"/>
        <w:spacing w:line="276" w:lineRule="auto"/>
        <w:ind w:left="220" w:right="218"/>
        <w:jc w:val="both"/>
      </w:pPr>
      <w:r>
        <w:rPr/>
        <w:t>tetracycline</w:t>
      </w:r>
      <w:r>
        <w:rPr>
          <w:spacing w:val="1"/>
        </w:rPr>
        <w:t> </w:t>
      </w:r>
      <w:r>
        <w:rPr/>
        <w:t>(43%)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chloramphinicol</w:t>
      </w:r>
      <w:r>
        <w:rPr>
          <w:spacing w:val="1"/>
        </w:rPr>
        <w:t> </w:t>
      </w:r>
      <w:r>
        <w:rPr/>
        <w:t>(57%)</w:t>
      </w:r>
      <w:r>
        <w:rPr>
          <w:vertAlign w:val="superscript"/>
        </w:rPr>
        <w:t>22</w:t>
      </w:r>
      <w:r>
        <w:rPr>
          <w:vertAlign w:val="baseline"/>
        </w:rPr>
        <w:t>.</w:t>
      </w:r>
      <w:r>
        <w:rPr>
          <w:spacing w:val="-47"/>
          <w:vertAlign w:val="baseline"/>
        </w:rPr>
        <w:t> </w:t>
      </w:r>
      <w:r>
        <w:rPr>
          <w:vertAlign w:val="baseline"/>
        </w:rPr>
        <w:t>The results of the current study has also indicated</w:t>
      </w:r>
      <w:r>
        <w:rPr>
          <w:spacing w:val="1"/>
          <w:vertAlign w:val="baseline"/>
        </w:rPr>
        <w:t> </w:t>
      </w:r>
      <w:r>
        <w:rPr>
          <w:vertAlign w:val="baseline"/>
        </w:rPr>
        <w:t>higher rates of resistance to cotrimoxazol (81.8%),</w:t>
      </w:r>
      <w:r>
        <w:rPr>
          <w:spacing w:val="1"/>
          <w:vertAlign w:val="baseline"/>
        </w:rPr>
        <w:t> </w:t>
      </w:r>
      <w:r>
        <w:rPr>
          <w:vertAlign w:val="baseline"/>
        </w:rPr>
        <w:t>gentamycin (69.6%) and tetracycline (60%) which</w:t>
      </w:r>
      <w:r>
        <w:rPr>
          <w:spacing w:val="1"/>
          <w:vertAlign w:val="baseline"/>
        </w:rPr>
        <w:t> </w:t>
      </w:r>
      <w:r>
        <w:rPr>
          <w:vertAlign w:val="baseline"/>
        </w:rPr>
        <w:t>contributes to the difficulties in treating bacterial</w:t>
      </w:r>
      <w:r>
        <w:rPr>
          <w:spacing w:val="1"/>
          <w:vertAlign w:val="baseline"/>
        </w:rPr>
        <w:t> </w:t>
      </w:r>
      <w:r>
        <w:rPr>
          <w:vertAlign w:val="baseline"/>
        </w:rPr>
        <w:t>meningitis. </w:t>
      </w:r>
      <w:r>
        <w:rPr>
          <w:i/>
          <w:vertAlign w:val="baseline"/>
        </w:rPr>
        <w:t>S.pneumonia </w:t>
      </w:r>
      <w:r>
        <w:rPr>
          <w:vertAlign w:val="baseline"/>
        </w:rPr>
        <w:t>showed a lower resistance</w:t>
      </w:r>
      <w:r>
        <w:rPr>
          <w:spacing w:val="-47"/>
          <w:vertAlign w:val="baseline"/>
        </w:rPr>
        <w:t> </w:t>
      </w:r>
      <w:r>
        <w:rPr>
          <w:vertAlign w:val="baseline"/>
        </w:rPr>
        <w:t>to</w:t>
      </w:r>
      <w:r>
        <w:rPr>
          <w:spacing w:val="72"/>
          <w:vertAlign w:val="baseline"/>
        </w:rPr>
        <w:t> </w:t>
      </w:r>
      <w:r>
        <w:rPr>
          <w:vertAlign w:val="baseline"/>
        </w:rPr>
        <w:t>chloramphinicol,</w:t>
      </w:r>
      <w:r>
        <w:rPr>
          <w:spacing w:val="72"/>
          <w:vertAlign w:val="baseline"/>
        </w:rPr>
        <w:t> </w:t>
      </w:r>
      <w:r>
        <w:rPr>
          <w:vertAlign w:val="baseline"/>
        </w:rPr>
        <w:t>cefriaxon</w:t>
      </w:r>
      <w:r>
        <w:rPr>
          <w:spacing w:val="71"/>
          <w:vertAlign w:val="baseline"/>
        </w:rPr>
        <w:t> </w:t>
      </w:r>
      <w:r>
        <w:rPr>
          <w:vertAlign w:val="baseline"/>
        </w:rPr>
        <w:t>and</w:t>
      </w:r>
      <w:r>
        <w:rPr>
          <w:spacing w:val="72"/>
          <w:vertAlign w:val="baseline"/>
        </w:rPr>
        <w:t> </w:t>
      </w:r>
      <w:r>
        <w:rPr>
          <w:vertAlign w:val="baseline"/>
        </w:rPr>
        <w:t>erythromycin</w:t>
      </w:r>
    </w:p>
    <w:p>
      <w:pPr>
        <w:spacing w:after="0" w:line="276" w:lineRule="auto"/>
        <w:jc w:val="both"/>
        <w:sectPr>
          <w:type w:val="continuous"/>
          <w:pgSz w:w="11910" w:h="16840"/>
          <w:pgMar w:top="1340" w:bottom="280" w:left="1220" w:right="1220"/>
          <w:cols w:num="2" w:equalWidth="0">
            <w:col w:w="4414" w:space="458"/>
            <w:col w:w="4598"/>
          </w:cols>
        </w:sectPr>
      </w:pPr>
    </w:p>
    <w:p>
      <w:pPr>
        <w:pStyle w:val="BodyText"/>
        <w:spacing w:line="276" w:lineRule="auto" w:before="80"/>
        <w:ind w:left="220" w:right="38"/>
        <w:jc w:val="both"/>
      </w:pPr>
      <w:r>
        <w:rPr/>
        <w:t>and</w:t>
      </w:r>
      <w:r>
        <w:rPr>
          <w:spacing w:val="1"/>
        </w:rPr>
        <w:t> </w:t>
      </w:r>
      <w:r>
        <w:rPr/>
        <w:t>higher</w:t>
      </w:r>
      <w:r>
        <w:rPr>
          <w:spacing w:val="1"/>
        </w:rPr>
        <w:t> </w:t>
      </w:r>
      <w:r>
        <w:rPr/>
        <w:t>resistance</w:t>
      </w:r>
      <w:r>
        <w:rPr>
          <w:spacing w:val="1"/>
        </w:rPr>
        <w:t> </w:t>
      </w:r>
      <w:r>
        <w:rPr/>
        <w:t>rate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cotrimoxazole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compared to a report from Egypt</w:t>
      </w:r>
      <w:r>
        <w:rPr>
          <w:vertAlign w:val="superscript"/>
        </w:rPr>
        <w:t>12</w:t>
      </w:r>
      <w:r>
        <w:rPr>
          <w:vertAlign w:val="baseline"/>
        </w:rPr>
        <w:t>. A report from</w:t>
      </w:r>
      <w:r>
        <w:rPr>
          <w:spacing w:val="1"/>
          <w:vertAlign w:val="baseline"/>
        </w:rPr>
        <w:t> </w:t>
      </w:r>
      <w:r>
        <w:rPr>
          <w:vertAlign w:val="baseline"/>
        </w:rPr>
        <w:t>Nepal and elsewhere in the world indicated 52%</w:t>
      </w:r>
      <w:r>
        <w:rPr>
          <w:spacing w:val="1"/>
          <w:vertAlign w:val="baseline"/>
        </w:rPr>
        <w:t> </w:t>
      </w:r>
      <w:r>
        <w:rPr>
          <w:vertAlign w:val="baseline"/>
        </w:rPr>
        <w:t>and 60% resistance to cotrimoxazole, respectively,</w:t>
      </w:r>
      <w:r>
        <w:rPr>
          <w:spacing w:val="1"/>
          <w:vertAlign w:val="baseline"/>
        </w:rPr>
        <w:t> </w:t>
      </w:r>
      <w:r>
        <w:rPr>
          <w:vertAlign w:val="baseline"/>
        </w:rPr>
        <w:t>which were lower than the current report</w:t>
      </w:r>
      <w:r>
        <w:rPr>
          <w:vertAlign w:val="superscript"/>
        </w:rPr>
        <w:t>3,</w:t>
      </w:r>
      <w:r>
        <w:rPr>
          <w:vertAlign w:val="baseline"/>
        </w:rPr>
        <w:t> </w:t>
      </w:r>
      <w:r>
        <w:rPr>
          <w:vertAlign w:val="superscript"/>
        </w:rPr>
        <w:t>6</w:t>
      </w:r>
      <w:r>
        <w:rPr>
          <w:vertAlign w:val="baseline"/>
        </w:rPr>
        <w:t>. On the</w:t>
      </w:r>
      <w:r>
        <w:rPr>
          <w:spacing w:val="-47"/>
          <w:vertAlign w:val="baseline"/>
        </w:rPr>
        <w:t> </w:t>
      </w:r>
      <w:r>
        <w:rPr>
          <w:vertAlign w:val="baseline"/>
        </w:rPr>
        <w:t>other hand a relatively low level of resistance to</w:t>
      </w:r>
      <w:r>
        <w:rPr>
          <w:spacing w:val="1"/>
          <w:vertAlign w:val="baseline"/>
        </w:rPr>
        <w:t> </w:t>
      </w:r>
      <w:r>
        <w:rPr>
          <w:vertAlign w:val="baseline"/>
        </w:rPr>
        <w:t>ciptofloxacin (23%) was observed when compared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study</w:t>
      </w:r>
      <w:r>
        <w:rPr>
          <w:spacing w:val="1"/>
          <w:vertAlign w:val="baseline"/>
        </w:rPr>
        <w:t> </w:t>
      </w:r>
      <w:r>
        <w:rPr>
          <w:vertAlign w:val="baseline"/>
        </w:rPr>
        <w:t>from</w:t>
      </w:r>
      <w:r>
        <w:rPr>
          <w:spacing w:val="1"/>
          <w:vertAlign w:val="baseline"/>
        </w:rPr>
        <w:t> </w:t>
      </w:r>
      <w:r>
        <w:rPr>
          <w:vertAlign w:val="baseline"/>
        </w:rPr>
        <w:t>Mumbi</w:t>
      </w:r>
      <w:r>
        <w:rPr>
          <w:spacing w:val="1"/>
          <w:vertAlign w:val="baseline"/>
        </w:rPr>
        <w:t> </w:t>
      </w:r>
      <w:r>
        <w:rPr>
          <w:vertAlign w:val="baseline"/>
        </w:rPr>
        <w:t>which</w:t>
      </w:r>
      <w:r>
        <w:rPr>
          <w:spacing w:val="1"/>
          <w:vertAlign w:val="baseline"/>
        </w:rPr>
        <w:t> </w:t>
      </w:r>
      <w:r>
        <w:rPr>
          <w:vertAlign w:val="baseline"/>
        </w:rPr>
        <w:t>reported</w:t>
      </w:r>
      <w:r>
        <w:rPr>
          <w:spacing w:val="1"/>
          <w:vertAlign w:val="baseline"/>
        </w:rPr>
        <w:t> </w:t>
      </w:r>
      <w:r>
        <w:rPr>
          <w:vertAlign w:val="baseline"/>
        </w:rPr>
        <w:t>33.3%</w:t>
      </w:r>
      <w:r>
        <w:rPr>
          <w:spacing w:val="1"/>
          <w:vertAlign w:val="baseline"/>
        </w:rPr>
        <w:t> </w:t>
      </w:r>
      <w:r>
        <w:rPr>
          <w:vertAlign w:val="baseline"/>
        </w:rPr>
        <w:t>resistance</w:t>
      </w:r>
      <w:r>
        <w:rPr>
          <w:spacing w:val="1"/>
          <w:vertAlign w:val="baseline"/>
        </w:rPr>
        <w:t> </w:t>
      </w:r>
      <w:r>
        <w:rPr>
          <w:vertAlign w:val="superscript"/>
        </w:rPr>
        <w:t>[19]</w:t>
      </w:r>
      <w:r>
        <w:rPr>
          <w:vertAlign w:val="baseline"/>
        </w:rPr>
        <w:t>. Even though there</w:t>
      </w:r>
      <w:r>
        <w:rPr>
          <w:spacing w:val="50"/>
          <w:vertAlign w:val="baseline"/>
        </w:rPr>
        <w:t> </w:t>
      </w:r>
      <w:r>
        <w:rPr>
          <w:vertAlign w:val="baseline"/>
        </w:rPr>
        <w:t>was a difference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resistance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ampicillin</w:t>
      </w:r>
      <w:r>
        <w:rPr>
          <w:spacing w:val="1"/>
          <w:vertAlign w:val="baseline"/>
        </w:rPr>
        <w:t> </w:t>
      </w:r>
      <w:r>
        <w:rPr>
          <w:vertAlign w:val="baseline"/>
        </w:rPr>
        <w:t>H.influenzae</w:t>
      </w:r>
      <w:r>
        <w:rPr>
          <w:spacing w:val="1"/>
          <w:vertAlign w:val="baseline"/>
        </w:rPr>
        <w:t> </w:t>
      </w:r>
      <w:r>
        <w:rPr>
          <w:vertAlign w:val="baseline"/>
        </w:rPr>
        <w:t>isolates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1"/>
          <w:vertAlign w:val="baseline"/>
        </w:rPr>
        <w:t> </w:t>
      </w:r>
      <w:r>
        <w:rPr>
          <w:vertAlign w:val="baseline"/>
        </w:rPr>
        <w:t>100%</w:t>
      </w:r>
      <w:r>
        <w:rPr>
          <w:spacing w:val="1"/>
          <w:vertAlign w:val="baseline"/>
        </w:rPr>
        <w:t> </w:t>
      </w:r>
      <w:r>
        <w:rPr>
          <w:vertAlign w:val="baseline"/>
        </w:rPr>
        <w:t>sensitive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ceftriaxone</w:t>
      </w:r>
      <w:r>
        <w:rPr>
          <w:spacing w:val="1"/>
          <w:vertAlign w:val="baseline"/>
        </w:rPr>
        <w:t> </w:t>
      </w:r>
      <w:r>
        <w:rPr>
          <w:vertAlign w:val="baseline"/>
        </w:rPr>
        <w:t>both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our</w:t>
      </w:r>
      <w:r>
        <w:rPr>
          <w:spacing w:val="1"/>
          <w:vertAlign w:val="baseline"/>
        </w:rPr>
        <w:t> </w:t>
      </w:r>
      <w:r>
        <w:rPr>
          <w:vertAlign w:val="baseline"/>
        </w:rPr>
        <w:t>study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Egyptian</w:t>
      </w:r>
      <w:r>
        <w:rPr>
          <w:spacing w:val="1"/>
          <w:vertAlign w:val="baseline"/>
        </w:rPr>
        <w:t> </w:t>
      </w:r>
      <w:r>
        <w:rPr>
          <w:vertAlign w:val="baseline"/>
        </w:rPr>
        <w:t>report</w:t>
      </w:r>
      <w:r>
        <w:rPr>
          <w:spacing w:val="1"/>
          <w:vertAlign w:val="baseline"/>
        </w:rPr>
        <w:t> </w:t>
      </w:r>
      <w:r>
        <w:rPr>
          <w:vertAlign w:val="baseline"/>
        </w:rPr>
        <w:t>among</w:t>
      </w:r>
      <w:r>
        <w:rPr>
          <w:spacing w:val="1"/>
          <w:vertAlign w:val="baseline"/>
        </w:rPr>
        <w:t> </w:t>
      </w:r>
      <w:r>
        <w:rPr>
          <w:vertAlign w:val="baseline"/>
        </w:rPr>
        <w:t>children</w:t>
      </w:r>
      <w:r>
        <w:rPr>
          <w:spacing w:val="1"/>
          <w:vertAlign w:val="baseline"/>
        </w:rPr>
        <w:t> </w:t>
      </w:r>
      <w:r>
        <w:rPr>
          <w:vertAlign w:val="baseline"/>
        </w:rPr>
        <w:t>isolates</w:t>
      </w:r>
      <w:r>
        <w:rPr>
          <w:vertAlign w:val="superscript"/>
        </w:rPr>
        <w:t>24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Not</w:t>
      </w:r>
      <w:r>
        <w:rPr>
          <w:spacing w:val="1"/>
          <w:vertAlign w:val="baseline"/>
        </w:rPr>
        <w:t> </w:t>
      </w:r>
      <w:r>
        <w:rPr>
          <w:vertAlign w:val="baseline"/>
        </w:rPr>
        <w:t>only</w:t>
      </w:r>
      <w:r>
        <w:rPr>
          <w:spacing w:val="1"/>
          <w:vertAlign w:val="baseline"/>
        </w:rPr>
        <w:t> </w:t>
      </w:r>
      <w:r>
        <w:rPr>
          <w:i/>
          <w:vertAlign w:val="baseline"/>
        </w:rPr>
        <w:t>S.pneumoniae</w:t>
      </w:r>
      <w:r>
        <w:rPr>
          <w:i/>
          <w:spacing w:val="51"/>
          <w:vertAlign w:val="baseline"/>
        </w:rPr>
        <w:t> </w:t>
      </w:r>
      <w:r>
        <w:rPr>
          <w:vertAlign w:val="baseline"/>
        </w:rPr>
        <w:t>showed</w:t>
      </w:r>
      <w:r>
        <w:rPr>
          <w:spacing w:val="1"/>
          <w:vertAlign w:val="baseline"/>
        </w:rPr>
        <w:t> </w:t>
      </w:r>
      <w:r>
        <w:rPr>
          <w:vertAlign w:val="baseline"/>
        </w:rPr>
        <w:t>increased resistance to commonly prescribed drugs,</w:t>
      </w:r>
      <w:r>
        <w:rPr>
          <w:spacing w:val="-47"/>
          <w:vertAlign w:val="baseline"/>
        </w:rPr>
        <w:t> </w:t>
      </w:r>
      <w:r>
        <w:rPr>
          <w:i/>
          <w:vertAlign w:val="baseline"/>
        </w:rPr>
        <w:t>N.meningitidis </w:t>
      </w:r>
      <w:r>
        <w:rPr>
          <w:vertAlign w:val="baseline"/>
        </w:rPr>
        <w:t>is also among the isolates with high</w:t>
      </w:r>
      <w:r>
        <w:rPr>
          <w:spacing w:val="1"/>
          <w:vertAlign w:val="baseline"/>
        </w:rPr>
        <w:t> </w:t>
      </w:r>
      <w:r>
        <w:rPr>
          <w:vertAlign w:val="baseline"/>
        </w:rPr>
        <w:t>level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resistance</w:t>
      </w:r>
      <w:r>
        <w:rPr>
          <w:spacing w:val="1"/>
          <w:vertAlign w:val="baseline"/>
        </w:rPr>
        <w:t> </w:t>
      </w:r>
      <w:r>
        <w:rPr>
          <w:vertAlign w:val="baseline"/>
        </w:rPr>
        <w:t>though</w:t>
      </w:r>
      <w:r>
        <w:rPr>
          <w:spacing w:val="1"/>
          <w:vertAlign w:val="baseline"/>
        </w:rPr>
        <w:t> </w:t>
      </w:r>
      <w:r>
        <w:rPr>
          <w:vertAlign w:val="baseline"/>
        </w:rPr>
        <w:t>there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50"/>
          <w:vertAlign w:val="baseline"/>
        </w:rPr>
        <w:t> </w:t>
      </w:r>
      <w:r>
        <w:rPr>
          <w:vertAlign w:val="baseline"/>
        </w:rPr>
        <w:t>difference</w:t>
      </w:r>
      <w:r>
        <w:rPr>
          <w:spacing w:val="1"/>
          <w:vertAlign w:val="baseline"/>
        </w:rPr>
        <w:t> </w:t>
      </w:r>
      <w:r>
        <w:rPr>
          <w:vertAlign w:val="baseline"/>
        </w:rPr>
        <w:t>when compared to a resistance reported elsewhere</w:t>
      </w:r>
      <w:r>
        <w:rPr>
          <w:spacing w:val="1"/>
          <w:vertAlign w:val="baseline"/>
        </w:rPr>
        <w:t> </w:t>
      </w:r>
      <w:r>
        <w:rPr>
          <w:vertAlign w:val="superscript"/>
        </w:rPr>
        <w:t>[18]</w:t>
      </w:r>
      <w:r>
        <w:rPr>
          <w:vertAlign w:val="baseline"/>
        </w:rPr>
        <w:t>. Unlike to a report from USA no methicillin</w:t>
      </w:r>
      <w:r>
        <w:rPr>
          <w:spacing w:val="1"/>
          <w:vertAlign w:val="baseline"/>
        </w:rPr>
        <w:t> </w:t>
      </w:r>
      <w:r>
        <w:rPr>
          <w:vertAlign w:val="baseline"/>
        </w:rPr>
        <w:t>resistance</w:t>
      </w:r>
      <w:r>
        <w:rPr>
          <w:spacing w:val="1"/>
          <w:vertAlign w:val="baseline"/>
        </w:rPr>
        <w:t> </w:t>
      </w:r>
      <w:r>
        <w:rPr>
          <w:i/>
          <w:vertAlign w:val="baseline"/>
        </w:rPr>
        <w:t>S.aureus</w:t>
      </w:r>
      <w:r>
        <w:rPr>
          <w:i/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found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our</w:t>
      </w:r>
      <w:r>
        <w:rPr>
          <w:spacing w:val="1"/>
          <w:vertAlign w:val="baseline"/>
        </w:rPr>
        <w:t> </w:t>
      </w:r>
      <w:r>
        <w:rPr>
          <w:vertAlign w:val="baseline"/>
        </w:rPr>
        <w:t>study</w:t>
      </w:r>
      <w:r>
        <w:rPr>
          <w:spacing w:val="50"/>
          <w:vertAlign w:val="baseline"/>
        </w:rPr>
        <w:t> </w:t>
      </w:r>
      <w:r>
        <w:rPr>
          <w:vertAlign w:val="superscript"/>
        </w:rPr>
        <w:t>[14]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Even though there are geographical differences in</w:t>
      </w:r>
      <w:r>
        <w:rPr>
          <w:spacing w:val="1"/>
          <w:vertAlign w:val="baseline"/>
        </w:rPr>
        <w:t> </w:t>
      </w:r>
      <w:r>
        <w:rPr>
          <w:vertAlign w:val="baseline"/>
        </w:rPr>
        <w:t>the drug resistance pattern of bacteria, the problem</w:t>
      </w:r>
      <w:r>
        <w:rPr>
          <w:spacing w:val="1"/>
          <w:vertAlign w:val="baseline"/>
        </w:rPr>
        <w:t> </w:t>
      </w:r>
      <w:r>
        <w:rPr>
          <w:vertAlign w:val="baseline"/>
        </w:rPr>
        <w:t>is increasing at an alarming rate. The reason why</w:t>
      </w:r>
      <w:r>
        <w:rPr>
          <w:spacing w:val="1"/>
          <w:vertAlign w:val="baseline"/>
        </w:rPr>
        <w:t> </w:t>
      </w:r>
      <w:r>
        <w:rPr>
          <w:vertAlign w:val="baseline"/>
        </w:rPr>
        <w:t>the drug resistant increased is not well known but it</w:t>
      </w:r>
      <w:r>
        <w:rPr>
          <w:spacing w:val="-47"/>
          <w:vertAlign w:val="baseline"/>
        </w:rPr>
        <w:t> </w:t>
      </w:r>
      <w:r>
        <w:rPr>
          <w:vertAlign w:val="baseline"/>
        </w:rPr>
        <w:t>might</w:t>
      </w:r>
      <w:r>
        <w:rPr>
          <w:spacing w:val="1"/>
          <w:vertAlign w:val="baseline"/>
        </w:rPr>
        <w:t> </w:t>
      </w:r>
      <w:r>
        <w:rPr>
          <w:vertAlign w:val="baseline"/>
        </w:rPr>
        <w:t>be</w:t>
      </w:r>
      <w:r>
        <w:rPr>
          <w:spacing w:val="1"/>
          <w:vertAlign w:val="baseline"/>
        </w:rPr>
        <w:t> </w:t>
      </w:r>
      <w:r>
        <w:rPr>
          <w:vertAlign w:val="baseline"/>
        </w:rPr>
        <w:t>due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absence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guide</w:t>
      </w:r>
      <w:r>
        <w:rPr>
          <w:spacing w:val="50"/>
          <w:vertAlign w:val="baseline"/>
        </w:rPr>
        <w:t> </w:t>
      </w:r>
      <w:r>
        <w:rPr>
          <w:vertAlign w:val="baseline"/>
        </w:rPr>
        <w:t>lines</w:t>
      </w:r>
      <w:r>
        <w:rPr>
          <w:spacing w:val="1"/>
          <w:vertAlign w:val="baseline"/>
        </w:rPr>
        <w:t> </w:t>
      </w:r>
      <w:r>
        <w:rPr>
          <w:vertAlign w:val="baseline"/>
        </w:rPr>
        <w:t>regarding the selection of drugs, information about</w:t>
      </w:r>
      <w:r>
        <w:rPr>
          <w:spacing w:val="1"/>
          <w:vertAlign w:val="baseline"/>
        </w:rPr>
        <w:t> </w:t>
      </w:r>
      <w:r>
        <w:rPr>
          <w:vertAlign w:val="baseline"/>
        </w:rPr>
        <w:t>drug resistance are not well communicated and the</w:t>
      </w:r>
      <w:r>
        <w:rPr>
          <w:spacing w:val="1"/>
          <w:vertAlign w:val="baseline"/>
        </w:rPr>
        <w:t> </w:t>
      </w:r>
      <w:r>
        <w:rPr>
          <w:vertAlign w:val="baseline"/>
        </w:rPr>
        <w:t>social trend of inappropriate use of a commonly</w:t>
      </w:r>
      <w:r>
        <w:rPr>
          <w:spacing w:val="1"/>
          <w:vertAlign w:val="baseline"/>
        </w:rPr>
        <w:t> </w:t>
      </w:r>
      <w:r>
        <w:rPr>
          <w:vertAlign w:val="baseline"/>
        </w:rPr>
        <w:t>prescribed drug.</w:t>
      </w:r>
    </w:p>
    <w:p>
      <w:pPr>
        <w:pStyle w:val="BodyText"/>
        <w:spacing w:before="1"/>
        <w:rPr>
          <w:sz w:val="23"/>
        </w:rPr>
      </w:pPr>
    </w:p>
    <w:p>
      <w:pPr>
        <w:pStyle w:val="BodyText"/>
        <w:spacing w:line="276" w:lineRule="auto"/>
        <w:ind w:left="220" w:right="41"/>
        <w:jc w:val="both"/>
      </w:pPr>
      <w:r>
        <w:rPr/>
        <w:t>Since</w:t>
      </w:r>
      <w:r>
        <w:rPr>
          <w:spacing w:val="1"/>
        </w:rPr>
        <w:t> </w:t>
      </w:r>
      <w:r>
        <w:rPr/>
        <w:t>clinicians</w:t>
      </w:r>
      <w:r>
        <w:rPr>
          <w:spacing w:val="1"/>
        </w:rPr>
        <w:t> </w:t>
      </w:r>
      <w:r>
        <w:rPr/>
        <w:t>will</w:t>
      </w:r>
      <w:r>
        <w:rPr>
          <w:spacing w:val="1"/>
        </w:rPr>
        <w:t> </w:t>
      </w:r>
      <w:r>
        <w:rPr/>
        <w:t>likely</w:t>
      </w:r>
      <w:r>
        <w:rPr>
          <w:spacing w:val="1"/>
        </w:rPr>
        <w:t> </w:t>
      </w:r>
      <w:r>
        <w:rPr/>
        <w:t>initiate</w:t>
      </w:r>
      <w:r>
        <w:rPr>
          <w:spacing w:val="1"/>
        </w:rPr>
        <w:t> </w:t>
      </w:r>
      <w:r>
        <w:rPr/>
        <w:t>antimicrobial</w:t>
      </w:r>
      <w:r>
        <w:rPr>
          <w:spacing w:val="1"/>
        </w:rPr>
        <w:t> </w:t>
      </w:r>
      <w:r>
        <w:rPr/>
        <w:t>therapy</w:t>
      </w:r>
      <w:r>
        <w:rPr>
          <w:spacing w:val="1"/>
        </w:rPr>
        <w:t> </w:t>
      </w:r>
      <w:r>
        <w:rPr/>
        <w:t>prior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51"/>
        </w:rPr>
        <w:t> </w:t>
      </w:r>
      <w:r>
        <w:rPr/>
        <w:t>microbiological</w:t>
      </w:r>
      <w:r>
        <w:rPr>
          <w:spacing w:val="1"/>
        </w:rPr>
        <w:t> </w:t>
      </w:r>
      <w:r>
        <w:rPr/>
        <w:t>characterization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infecting</w:t>
      </w:r>
      <w:r>
        <w:rPr>
          <w:spacing w:val="1"/>
        </w:rPr>
        <w:t> </w:t>
      </w:r>
      <w:r>
        <w:rPr/>
        <w:t>agent</w:t>
      </w:r>
      <w:r>
        <w:rPr>
          <w:spacing w:val="1"/>
        </w:rPr>
        <w:t> </w:t>
      </w:r>
      <w:r>
        <w:rPr/>
        <w:t>and</w:t>
      </w:r>
      <w:r>
        <w:rPr>
          <w:spacing w:val="-47"/>
        </w:rPr>
        <w:t> </w:t>
      </w:r>
      <w:r>
        <w:rPr/>
        <w:t>resistance surveillance plays an important role in</w:t>
      </w:r>
      <w:r>
        <w:rPr>
          <w:spacing w:val="1"/>
        </w:rPr>
        <w:t> </w:t>
      </w:r>
      <w:r>
        <w:rPr/>
        <w:t>helping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understand</w:t>
      </w:r>
      <w:r>
        <w:rPr>
          <w:spacing w:val="1"/>
        </w:rPr>
        <w:t> </w:t>
      </w:r>
      <w:r>
        <w:rPr/>
        <w:t>trends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predominant</w:t>
      </w:r>
      <w:r>
        <w:rPr>
          <w:spacing w:val="1"/>
        </w:rPr>
        <w:t> </w:t>
      </w:r>
      <w:r>
        <w:rPr/>
        <w:t>pathogens and the impact of resistance on empiric</w:t>
      </w:r>
      <w:r>
        <w:rPr>
          <w:spacing w:val="1"/>
        </w:rPr>
        <w:t> </w:t>
      </w:r>
      <w:r>
        <w:rPr/>
        <w:t>choice.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point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view,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study</w:t>
      </w:r>
      <w:r>
        <w:rPr>
          <w:spacing w:val="1"/>
        </w:rPr>
        <w:t> </w:t>
      </w:r>
      <w:r>
        <w:rPr/>
        <w:t>concluded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common</w:t>
      </w:r>
      <w:r>
        <w:rPr>
          <w:spacing w:val="1"/>
        </w:rPr>
        <w:t> </w:t>
      </w:r>
      <w:r>
        <w:rPr/>
        <w:t>bacterial</w:t>
      </w:r>
      <w:r>
        <w:rPr>
          <w:spacing w:val="1"/>
        </w:rPr>
        <w:t> </w:t>
      </w:r>
      <w:r>
        <w:rPr/>
        <w:t>pathogens</w:t>
      </w:r>
      <w:r>
        <w:rPr>
          <w:spacing w:val="1"/>
        </w:rPr>
        <w:t> </w:t>
      </w:r>
      <w:r>
        <w:rPr/>
        <w:t>responsible for meningitis in the study area are still</w:t>
      </w:r>
      <w:r>
        <w:rPr>
          <w:spacing w:val="1"/>
        </w:rPr>
        <w:t> </w:t>
      </w:r>
      <w:r>
        <w:rPr/>
        <w:t>similar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previous</w:t>
      </w:r>
      <w:r>
        <w:rPr>
          <w:spacing w:val="1"/>
        </w:rPr>
        <w:t> </w:t>
      </w:r>
      <w:r>
        <w:rPr/>
        <w:t>reports</w:t>
      </w:r>
      <w:r>
        <w:rPr>
          <w:spacing w:val="1"/>
        </w:rPr>
        <w:t> </w:t>
      </w:r>
      <w:r>
        <w:rPr/>
        <w:t>though</w:t>
      </w:r>
      <w:r>
        <w:rPr>
          <w:spacing w:val="1"/>
        </w:rPr>
        <w:t> </w:t>
      </w:r>
      <w:r>
        <w:rPr/>
        <w:t>there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differences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rate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isolation.</w:t>
      </w:r>
      <w:r>
        <w:rPr>
          <w:spacing w:val="1"/>
        </w:rPr>
        <w:t> </w:t>
      </w:r>
      <w:r>
        <w:rPr/>
        <w:t>These</w:t>
      </w:r>
      <w:r>
        <w:rPr>
          <w:spacing w:val="1"/>
        </w:rPr>
        <w:t> </w:t>
      </w:r>
      <w:r>
        <w:rPr/>
        <w:t>Several</w:t>
      </w:r>
      <w:r>
        <w:rPr>
          <w:spacing w:val="1"/>
        </w:rPr>
        <w:t> </w:t>
      </w:r>
      <w:r>
        <w:rPr/>
        <w:t>bacteria have developed antimicrobial resistance to</w:t>
      </w:r>
      <w:r>
        <w:rPr>
          <w:spacing w:val="1"/>
        </w:rPr>
        <w:t> </w:t>
      </w:r>
      <w:r>
        <w:rPr/>
        <w:t>conventional</w:t>
      </w:r>
      <w:r>
        <w:rPr>
          <w:spacing w:val="1"/>
        </w:rPr>
        <w:t> </w:t>
      </w:r>
      <w:r>
        <w:rPr/>
        <w:t>antibiotic</w:t>
      </w:r>
      <w:r>
        <w:rPr>
          <w:spacing w:val="1"/>
        </w:rPr>
        <w:t> </w:t>
      </w:r>
      <w:r>
        <w:rPr/>
        <w:t>regimes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emerging</w:t>
      </w:r>
      <w:r>
        <w:rPr>
          <w:spacing w:val="1"/>
        </w:rPr>
        <w:t> </w:t>
      </w:r>
      <w:r>
        <w:rPr/>
        <w:t>multidrug resistance strains. This urges the need of</w:t>
      </w:r>
      <w:r>
        <w:rPr>
          <w:spacing w:val="1"/>
        </w:rPr>
        <w:t> </w:t>
      </w:r>
      <w:r>
        <w:rPr/>
        <w:t>wider area studies and the development of updated</w:t>
      </w:r>
      <w:r>
        <w:rPr>
          <w:spacing w:val="1"/>
        </w:rPr>
        <w:t> </w:t>
      </w:r>
      <w:r>
        <w:rPr/>
        <w:t>information about pathogens so as to combat drug</w:t>
      </w:r>
      <w:r>
        <w:rPr>
          <w:spacing w:val="1"/>
        </w:rPr>
        <w:t> </w:t>
      </w:r>
      <w:r>
        <w:rPr/>
        <w:t>resistance</w:t>
      </w:r>
      <w:r>
        <w:rPr>
          <w:spacing w:val="-1"/>
        </w:rPr>
        <w:t> </w:t>
      </w:r>
      <w:r>
        <w:rPr/>
        <w:t>strains.</w:t>
      </w:r>
    </w:p>
    <w:p>
      <w:pPr>
        <w:pStyle w:val="BodyText"/>
        <w:spacing w:before="1"/>
        <w:rPr>
          <w:sz w:val="23"/>
        </w:rPr>
      </w:pPr>
    </w:p>
    <w:p>
      <w:pPr>
        <w:pStyle w:val="Heading2"/>
        <w:spacing w:before="1"/>
      </w:pPr>
      <w:r>
        <w:rPr/>
        <w:t>Acknowledgements</w:t>
      </w:r>
    </w:p>
    <w:p>
      <w:pPr>
        <w:pStyle w:val="BodyText"/>
        <w:spacing w:line="276" w:lineRule="auto" w:before="36"/>
        <w:ind w:left="220" w:right="42"/>
        <w:jc w:val="both"/>
      </w:pPr>
      <w:r>
        <w:rPr/>
        <w:t>We gratefully acknowledge University of Gondar</w:t>
      </w:r>
      <w:r>
        <w:rPr>
          <w:spacing w:val="1"/>
        </w:rPr>
        <w:t> </w:t>
      </w:r>
      <w:r>
        <w:rPr/>
        <w:t>Hospital Bacteriology laboratory workers for their</w:t>
      </w:r>
      <w:r>
        <w:rPr>
          <w:spacing w:val="1"/>
        </w:rPr>
        <w:t> </w:t>
      </w:r>
      <w:r>
        <w:rPr/>
        <w:t>contribution in one or another way in conducting</w:t>
      </w:r>
      <w:r>
        <w:rPr>
          <w:spacing w:val="1"/>
        </w:rPr>
        <w:t> </w:t>
      </w:r>
      <w:r>
        <w:rPr/>
        <w:t>this</w:t>
      </w:r>
      <w:r>
        <w:rPr>
          <w:spacing w:val="-2"/>
        </w:rPr>
        <w:t> </w:t>
      </w:r>
      <w:r>
        <w:rPr/>
        <w:t>research.</w:t>
      </w:r>
    </w:p>
    <w:p>
      <w:pPr>
        <w:pStyle w:val="Heading2"/>
        <w:spacing w:before="83"/>
      </w:pPr>
      <w:r>
        <w:rPr>
          <w:b w:val="0"/>
        </w:rPr>
        <w:br w:type="column"/>
      </w:r>
      <w:r>
        <w:rPr/>
        <w:t>References</w:t>
      </w:r>
    </w:p>
    <w:p>
      <w:pPr>
        <w:pStyle w:val="ListParagraph"/>
        <w:numPr>
          <w:ilvl w:val="0"/>
          <w:numId w:val="1"/>
        </w:numPr>
        <w:tabs>
          <w:tab w:pos="580" w:val="left" w:leader="none"/>
        </w:tabs>
        <w:spacing w:line="276" w:lineRule="auto" w:before="35" w:after="0"/>
        <w:ind w:left="580" w:right="217" w:hanging="360"/>
        <w:jc w:val="both"/>
        <w:rPr>
          <w:sz w:val="20"/>
        </w:rPr>
      </w:pPr>
      <w:r>
        <w:rPr>
          <w:sz w:val="20"/>
        </w:rPr>
        <w:t>Mulu</w:t>
      </w:r>
      <w:r>
        <w:rPr>
          <w:spacing w:val="1"/>
          <w:sz w:val="20"/>
        </w:rPr>
        <w:t> </w:t>
      </w:r>
      <w:r>
        <w:rPr>
          <w:sz w:val="20"/>
        </w:rPr>
        <w:t>A,</w:t>
      </w:r>
      <w:r>
        <w:rPr>
          <w:spacing w:val="1"/>
          <w:sz w:val="20"/>
        </w:rPr>
        <w:t> </w:t>
      </w:r>
      <w:r>
        <w:rPr>
          <w:sz w:val="20"/>
        </w:rPr>
        <w:t>Kassu</w:t>
      </w:r>
      <w:r>
        <w:rPr>
          <w:spacing w:val="1"/>
          <w:sz w:val="20"/>
        </w:rPr>
        <w:t> </w:t>
      </w:r>
      <w:r>
        <w:rPr>
          <w:sz w:val="20"/>
        </w:rPr>
        <w:t>A,</w:t>
      </w:r>
      <w:r>
        <w:rPr>
          <w:spacing w:val="1"/>
          <w:sz w:val="20"/>
        </w:rPr>
        <w:t> </w:t>
      </w:r>
      <w:r>
        <w:rPr>
          <w:sz w:val="20"/>
        </w:rPr>
        <w:t>Tessema</w:t>
      </w:r>
      <w:r>
        <w:rPr>
          <w:spacing w:val="1"/>
          <w:sz w:val="20"/>
        </w:rPr>
        <w:t> </w:t>
      </w:r>
      <w:r>
        <w:rPr>
          <w:sz w:val="20"/>
        </w:rPr>
        <w:t>B.</w:t>
      </w:r>
      <w:r>
        <w:rPr>
          <w:spacing w:val="1"/>
          <w:sz w:val="20"/>
        </w:rPr>
        <w:t> </w:t>
      </w:r>
      <w:r>
        <w:rPr>
          <w:sz w:val="20"/>
        </w:rPr>
        <w:t>Bacterial</w:t>
      </w:r>
      <w:r>
        <w:rPr>
          <w:spacing w:val="1"/>
          <w:sz w:val="20"/>
        </w:rPr>
        <w:t> </w:t>
      </w:r>
      <w:r>
        <w:rPr>
          <w:sz w:val="20"/>
        </w:rPr>
        <w:t>isolates</w:t>
      </w:r>
      <w:r>
        <w:rPr>
          <w:spacing w:val="1"/>
          <w:sz w:val="20"/>
        </w:rPr>
        <w:t> </w:t>
      </w:r>
      <w:r>
        <w:rPr>
          <w:sz w:val="20"/>
        </w:rPr>
        <w:t>from</w:t>
      </w:r>
      <w:r>
        <w:rPr>
          <w:spacing w:val="1"/>
          <w:sz w:val="20"/>
        </w:rPr>
        <w:t> </w:t>
      </w:r>
      <w:r>
        <w:rPr>
          <w:sz w:val="20"/>
        </w:rPr>
        <w:t>cerebrospinal</w:t>
      </w:r>
      <w:r>
        <w:rPr>
          <w:spacing w:val="1"/>
          <w:sz w:val="20"/>
        </w:rPr>
        <w:t> </w:t>
      </w:r>
      <w:r>
        <w:rPr>
          <w:sz w:val="20"/>
        </w:rPr>
        <w:t>fluids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their</w:t>
      </w:r>
      <w:r>
        <w:rPr>
          <w:spacing w:val="1"/>
          <w:sz w:val="20"/>
        </w:rPr>
        <w:t> </w:t>
      </w:r>
      <w:r>
        <w:rPr>
          <w:sz w:val="20"/>
        </w:rPr>
        <w:t>antibiotic</w:t>
      </w:r>
      <w:r>
        <w:rPr>
          <w:spacing w:val="1"/>
          <w:sz w:val="20"/>
        </w:rPr>
        <w:t> </w:t>
      </w:r>
      <w:r>
        <w:rPr>
          <w:sz w:val="20"/>
        </w:rPr>
        <w:t>susceptibility</w:t>
      </w:r>
      <w:r>
        <w:rPr>
          <w:spacing w:val="1"/>
          <w:sz w:val="20"/>
        </w:rPr>
        <w:t> </w:t>
      </w:r>
      <w:r>
        <w:rPr>
          <w:sz w:val="20"/>
        </w:rPr>
        <w:t>patterns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Gondar</w:t>
      </w:r>
      <w:r>
        <w:rPr>
          <w:spacing w:val="1"/>
          <w:sz w:val="20"/>
        </w:rPr>
        <w:t> </w:t>
      </w:r>
      <w:r>
        <w:rPr>
          <w:sz w:val="20"/>
        </w:rPr>
        <w:t>University</w:t>
      </w:r>
      <w:r>
        <w:rPr>
          <w:spacing w:val="1"/>
          <w:sz w:val="20"/>
        </w:rPr>
        <w:t> </w:t>
      </w:r>
      <w:r>
        <w:rPr>
          <w:sz w:val="20"/>
        </w:rPr>
        <w:t>Teaching</w:t>
      </w:r>
      <w:r>
        <w:rPr>
          <w:spacing w:val="1"/>
          <w:sz w:val="20"/>
        </w:rPr>
        <w:t> </w:t>
      </w:r>
      <w:r>
        <w:rPr>
          <w:sz w:val="20"/>
        </w:rPr>
        <w:t>Hospital,</w:t>
      </w:r>
      <w:r>
        <w:rPr>
          <w:spacing w:val="1"/>
          <w:sz w:val="20"/>
        </w:rPr>
        <w:t> </w:t>
      </w:r>
      <w:r>
        <w:rPr>
          <w:sz w:val="20"/>
        </w:rPr>
        <w:t>Northwest</w:t>
      </w:r>
      <w:r>
        <w:rPr>
          <w:spacing w:val="1"/>
          <w:sz w:val="20"/>
        </w:rPr>
        <w:t> </w:t>
      </w:r>
      <w:r>
        <w:rPr>
          <w:sz w:val="20"/>
        </w:rPr>
        <w:t>Ethiopia. </w:t>
      </w:r>
      <w:r>
        <w:rPr>
          <w:i/>
          <w:sz w:val="20"/>
        </w:rPr>
        <w:t>Ethiop. J. Health. Dev., </w:t>
      </w:r>
      <w:r>
        <w:rPr>
          <w:sz w:val="20"/>
        </w:rPr>
        <w:t>19(2), 2005,</w:t>
      </w:r>
      <w:r>
        <w:rPr>
          <w:spacing w:val="1"/>
          <w:sz w:val="20"/>
        </w:rPr>
        <w:t> </w:t>
      </w:r>
      <w:r>
        <w:rPr>
          <w:sz w:val="20"/>
        </w:rPr>
        <w:t>160-164.</w:t>
      </w:r>
    </w:p>
    <w:p>
      <w:pPr>
        <w:pStyle w:val="ListParagraph"/>
        <w:numPr>
          <w:ilvl w:val="0"/>
          <w:numId w:val="1"/>
        </w:numPr>
        <w:tabs>
          <w:tab w:pos="580" w:val="left" w:leader="none"/>
        </w:tabs>
        <w:spacing w:line="276" w:lineRule="auto" w:before="0" w:after="0"/>
        <w:ind w:left="580" w:right="218" w:hanging="360"/>
        <w:jc w:val="both"/>
        <w:rPr>
          <w:sz w:val="20"/>
        </w:rPr>
      </w:pPr>
      <w:r>
        <w:rPr>
          <w:sz w:val="20"/>
        </w:rPr>
        <w:t>Jones ME, Draghi DC, Karlowsky JA, Sahm</w:t>
      </w:r>
      <w:r>
        <w:rPr>
          <w:spacing w:val="1"/>
          <w:sz w:val="20"/>
        </w:rPr>
        <w:t> </w:t>
      </w:r>
      <w:r>
        <w:rPr>
          <w:sz w:val="20"/>
        </w:rPr>
        <w:t>DF,</w:t>
      </w:r>
      <w:r>
        <w:rPr>
          <w:spacing w:val="1"/>
          <w:sz w:val="20"/>
        </w:rPr>
        <w:t> </w:t>
      </w:r>
      <w:r>
        <w:rPr>
          <w:sz w:val="20"/>
        </w:rPr>
        <w:t>Bradley JS.</w:t>
      </w:r>
      <w:r>
        <w:rPr>
          <w:spacing w:val="1"/>
          <w:sz w:val="20"/>
        </w:rPr>
        <w:t> </w:t>
      </w:r>
      <w:r>
        <w:rPr>
          <w:sz w:val="20"/>
        </w:rPr>
        <w:t>Prevalence</w:t>
      </w:r>
      <w:r>
        <w:rPr>
          <w:spacing w:val="1"/>
          <w:sz w:val="20"/>
        </w:rPr>
        <w:t> </w:t>
      </w:r>
      <w:r>
        <w:rPr>
          <w:sz w:val="20"/>
        </w:rPr>
        <w:t>of antimicrobial</w:t>
      </w:r>
      <w:r>
        <w:rPr>
          <w:spacing w:val="1"/>
          <w:sz w:val="20"/>
        </w:rPr>
        <w:t> </w:t>
      </w:r>
      <w:r>
        <w:rPr>
          <w:sz w:val="20"/>
        </w:rPr>
        <w:t>resistance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bacteria</w:t>
      </w:r>
      <w:r>
        <w:rPr>
          <w:spacing w:val="1"/>
          <w:sz w:val="20"/>
        </w:rPr>
        <w:t> </w:t>
      </w:r>
      <w:r>
        <w:rPr>
          <w:sz w:val="20"/>
        </w:rPr>
        <w:t>isolated</w:t>
      </w:r>
      <w:r>
        <w:rPr>
          <w:spacing w:val="1"/>
          <w:sz w:val="20"/>
        </w:rPr>
        <w:t> </w:t>
      </w:r>
      <w:r>
        <w:rPr>
          <w:sz w:val="20"/>
        </w:rPr>
        <w:t>from</w:t>
      </w:r>
      <w:r>
        <w:rPr>
          <w:spacing w:val="1"/>
          <w:sz w:val="20"/>
        </w:rPr>
        <w:t> </w:t>
      </w:r>
      <w:r>
        <w:rPr>
          <w:sz w:val="20"/>
        </w:rPr>
        <w:t>central</w:t>
      </w:r>
      <w:r>
        <w:rPr>
          <w:spacing w:val="1"/>
          <w:sz w:val="20"/>
        </w:rPr>
        <w:t> </w:t>
      </w:r>
      <w:r>
        <w:rPr>
          <w:sz w:val="20"/>
        </w:rPr>
        <w:t>nervous system specimens as reported by U.S.</w:t>
      </w:r>
      <w:r>
        <w:rPr>
          <w:spacing w:val="1"/>
          <w:sz w:val="20"/>
        </w:rPr>
        <w:t> </w:t>
      </w:r>
      <w:r>
        <w:rPr>
          <w:sz w:val="20"/>
        </w:rPr>
        <w:t>hospital</w:t>
      </w:r>
      <w:r>
        <w:rPr>
          <w:spacing w:val="1"/>
          <w:sz w:val="20"/>
        </w:rPr>
        <w:t> </w:t>
      </w:r>
      <w:r>
        <w:rPr>
          <w:sz w:val="20"/>
        </w:rPr>
        <w:t>laboratories</w:t>
      </w:r>
      <w:r>
        <w:rPr>
          <w:spacing w:val="1"/>
          <w:sz w:val="20"/>
        </w:rPr>
        <w:t> </w:t>
      </w:r>
      <w:r>
        <w:rPr>
          <w:sz w:val="20"/>
        </w:rPr>
        <w:t>from</w:t>
      </w:r>
      <w:r>
        <w:rPr>
          <w:spacing w:val="1"/>
          <w:sz w:val="20"/>
        </w:rPr>
        <w:t> </w:t>
      </w:r>
      <w:r>
        <w:rPr>
          <w:sz w:val="20"/>
        </w:rPr>
        <w:t>2000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51"/>
          <w:sz w:val="20"/>
        </w:rPr>
        <w:t> </w:t>
      </w:r>
      <w:r>
        <w:rPr>
          <w:sz w:val="20"/>
        </w:rPr>
        <w:t>2002.</w:t>
      </w:r>
      <w:r>
        <w:rPr>
          <w:spacing w:val="1"/>
          <w:sz w:val="20"/>
        </w:rPr>
        <w:t> </w:t>
      </w:r>
      <w:r>
        <w:rPr>
          <w:i/>
          <w:sz w:val="20"/>
        </w:rPr>
        <w:t>Annals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Clinical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Microbiology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Antimicrobials,</w:t>
      </w:r>
      <w:r>
        <w:rPr>
          <w:i/>
          <w:spacing w:val="1"/>
          <w:sz w:val="20"/>
        </w:rPr>
        <w:t> </w:t>
      </w:r>
      <w:r>
        <w:rPr>
          <w:sz w:val="20"/>
        </w:rPr>
        <w:t>3,</w:t>
      </w:r>
      <w:r>
        <w:rPr>
          <w:spacing w:val="1"/>
          <w:sz w:val="20"/>
        </w:rPr>
        <w:t> </w:t>
      </w:r>
      <w:r>
        <w:rPr>
          <w:sz w:val="20"/>
        </w:rPr>
        <w:t>2004,</w:t>
      </w:r>
      <w:r>
        <w:rPr>
          <w:spacing w:val="-2"/>
          <w:sz w:val="20"/>
        </w:rPr>
        <w:t> </w:t>
      </w:r>
      <w:r>
        <w:rPr>
          <w:sz w:val="20"/>
        </w:rPr>
        <w:t>3.</w:t>
      </w:r>
    </w:p>
    <w:p>
      <w:pPr>
        <w:pStyle w:val="ListParagraph"/>
        <w:numPr>
          <w:ilvl w:val="0"/>
          <w:numId w:val="1"/>
        </w:numPr>
        <w:tabs>
          <w:tab w:pos="580" w:val="left" w:leader="none"/>
        </w:tabs>
        <w:spacing w:line="276" w:lineRule="auto" w:before="1" w:after="0"/>
        <w:ind w:left="580" w:right="218" w:hanging="360"/>
        <w:jc w:val="both"/>
        <w:rPr>
          <w:sz w:val="20"/>
        </w:rPr>
      </w:pPr>
      <w:r>
        <w:rPr>
          <w:color w:val="231F1F"/>
          <w:sz w:val="20"/>
        </w:rPr>
        <w:t>Alam</w:t>
      </w:r>
      <w:r>
        <w:rPr>
          <w:color w:val="231F1F"/>
          <w:spacing w:val="1"/>
          <w:sz w:val="20"/>
        </w:rPr>
        <w:t> </w:t>
      </w:r>
      <w:r>
        <w:rPr>
          <w:color w:val="231F1F"/>
          <w:sz w:val="20"/>
        </w:rPr>
        <w:t>MR,</w:t>
      </w:r>
      <w:r>
        <w:rPr>
          <w:color w:val="231F1F"/>
          <w:spacing w:val="1"/>
          <w:sz w:val="20"/>
        </w:rPr>
        <w:t> </w:t>
      </w:r>
      <w:r>
        <w:rPr>
          <w:color w:val="231F1F"/>
          <w:sz w:val="20"/>
        </w:rPr>
        <w:t>Saha</w:t>
      </w:r>
      <w:r>
        <w:rPr>
          <w:color w:val="231F1F"/>
          <w:spacing w:val="1"/>
          <w:sz w:val="20"/>
        </w:rPr>
        <w:t> </w:t>
      </w:r>
      <w:r>
        <w:rPr>
          <w:color w:val="231F1F"/>
          <w:sz w:val="20"/>
        </w:rPr>
        <w:t>SK,</w:t>
      </w:r>
      <w:r>
        <w:rPr>
          <w:color w:val="231F1F"/>
          <w:spacing w:val="1"/>
          <w:sz w:val="20"/>
        </w:rPr>
        <w:t> </w:t>
      </w:r>
      <w:r>
        <w:rPr>
          <w:color w:val="231F1F"/>
          <w:sz w:val="20"/>
        </w:rPr>
        <w:t>Nasreen</w:t>
      </w:r>
      <w:r>
        <w:rPr>
          <w:color w:val="231F1F"/>
          <w:spacing w:val="1"/>
          <w:sz w:val="20"/>
        </w:rPr>
        <w:t> </w:t>
      </w:r>
      <w:r>
        <w:rPr>
          <w:color w:val="231F1F"/>
          <w:sz w:val="20"/>
        </w:rPr>
        <w:t>T,</w:t>
      </w:r>
      <w:r>
        <w:rPr>
          <w:color w:val="231F1F"/>
          <w:spacing w:val="1"/>
          <w:sz w:val="20"/>
        </w:rPr>
        <w:t> </w:t>
      </w:r>
      <w:r>
        <w:rPr>
          <w:color w:val="231F1F"/>
          <w:sz w:val="20"/>
        </w:rPr>
        <w:t>Latif</w:t>
      </w:r>
      <w:r>
        <w:rPr>
          <w:color w:val="231F1F"/>
          <w:spacing w:val="1"/>
          <w:sz w:val="20"/>
        </w:rPr>
        <w:t> </w:t>
      </w:r>
      <w:r>
        <w:rPr>
          <w:color w:val="231F1F"/>
          <w:sz w:val="20"/>
        </w:rPr>
        <w:t>F,</w:t>
      </w:r>
      <w:r>
        <w:rPr>
          <w:color w:val="231F1F"/>
          <w:spacing w:val="1"/>
          <w:sz w:val="20"/>
        </w:rPr>
        <w:t> </w:t>
      </w:r>
      <w:r>
        <w:rPr>
          <w:color w:val="231F1F"/>
          <w:sz w:val="20"/>
        </w:rPr>
        <w:t>Rahman</w:t>
      </w:r>
      <w:r>
        <w:rPr>
          <w:color w:val="231F1F"/>
          <w:spacing w:val="1"/>
          <w:sz w:val="20"/>
        </w:rPr>
        <w:t> </w:t>
      </w:r>
      <w:r>
        <w:rPr>
          <w:color w:val="231F1F"/>
          <w:sz w:val="20"/>
        </w:rPr>
        <w:t>SR,</w:t>
      </w:r>
      <w:r>
        <w:rPr>
          <w:color w:val="231F1F"/>
          <w:spacing w:val="1"/>
          <w:sz w:val="20"/>
        </w:rPr>
        <w:t> </w:t>
      </w:r>
      <w:r>
        <w:rPr>
          <w:color w:val="231F1F"/>
          <w:sz w:val="20"/>
        </w:rPr>
        <w:t>Gomes</w:t>
      </w:r>
      <w:r>
        <w:rPr>
          <w:color w:val="231F1F"/>
          <w:spacing w:val="1"/>
          <w:sz w:val="20"/>
        </w:rPr>
        <w:t> </w:t>
      </w:r>
      <w:r>
        <w:rPr>
          <w:color w:val="231F1F"/>
          <w:sz w:val="20"/>
        </w:rPr>
        <w:t>DJ.</w:t>
      </w:r>
      <w:r>
        <w:rPr>
          <w:color w:val="231F1F"/>
          <w:spacing w:val="1"/>
          <w:sz w:val="20"/>
        </w:rPr>
        <w:t> </w:t>
      </w:r>
      <w:r>
        <w:rPr>
          <w:color w:val="231F1F"/>
          <w:sz w:val="20"/>
        </w:rPr>
        <w:t>Detection,</w:t>
      </w:r>
      <w:r>
        <w:rPr>
          <w:color w:val="231F1F"/>
          <w:spacing w:val="1"/>
          <w:sz w:val="20"/>
        </w:rPr>
        <w:t> </w:t>
      </w:r>
      <w:r>
        <w:rPr>
          <w:color w:val="231F1F"/>
          <w:sz w:val="20"/>
        </w:rPr>
        <w:t>Antimicrobial Susceptibility and Serotyping of</w:t>
      </w:r>
      <w:r>
        <w:rPr>
          <w:color w:val="231F1F"/>
          <w:spacing w:val="-47"/>
          <w:sz w:val="20"/>
        </w:rPr>
        <w:t> </w:t>
      </w:r>
      <w:r>
        <w:rPr>
          <w:i/>
          <w:color w:val="231F1F"/>
          <w:sz w:val="20"/>
        </w:rPr>
        <w:t>Streptococcus pneumoniae </w:t>
      </w:r>
      <w:r>
        <w:rPr>
          <w:color w:val="231F1F"/>
          <w:sz w:val="20"/>
        </w:rPr>
        <w:t>from Cerebrospinal</w:t>
      </w:r>
      <w:r>
        <w:rPr>
          <w:color w:val="231F1F"/>
          <w:spacing w:val="-47"/>
          <w:sz w:val="20"/>
        </w:rPr>
        <w:t> </w:t>
      </w:r>
      <w:r>
        <w:rPr>
          <w:color w:val="231F1F"/>
          <w:sz w:val="20"/>
        </w:rPr>
        <w:t>Fluid</w:t>
      </w:r>
      <w:r>
        <w:rPr>
          <w:color w:val="231F1F"/>
          <w:spacing w:val="1"/>
          <w:sz w:val="20"/>
        </w:rPr>
        <w:t> </w:t>
      </w:r>
      <w:r>
        <w:rPr>
          <w:color w:val="231F1F"/>
          <w:sz w:val="20"/>
        </w:rPr>
        <w:t>Specimens</w:t>
      </w:r>
      <w:r>
        <w:rPr>
          <w:color w:val="231F1F"/>
          <w:spacing w:val="1"/>
          <w:sz w:val="20"/>
        </w:rPr>
        <w:t> </w:t>
      </w:r>
      <w:r>
        <w:rPr>
          <w:color w:val="231F1F"/>
          <w:sz w:val="20"/>
        </w:rPr>
        <w:t>from</w:t>
      </w:r>
      <w:r>
        <w:rPr>
          <w:color w:val="231F1F"/>
          <w:spacing w:val="1"/>
          <w:sz w:val="20"/>
        </w:rPr>
        <w:t> </w:t>
      </w:r>
      <w:r>
        <w:rPr>
          <w:color w:val="231F1F"/>
          <w:sz w:val="20"/>
        </w:rPr>
        <w:t>Suspected</w:t>
      </w:r>
      <w:r>
        <w:rPr>
          <w:color w:val="231F1F"/>
          <w:spacing w:val="1"/>
          <w:sz w:val="20"/>
        </w:rPr>
        <w:t> </w:t>
      </w:r>
      <w:r>
        <w:rPr>
          <w:color w:val="231F1F"/>
          <w:sz w:val="20"/>
        </w:rPr>
        <w:t>Meningitis</w:t>
      </w:r>
      <w:r>
        <w:rPr>
          <w:color w:val="231F1F"/>
          <w:spacing w:val="-47"/>
          <w:sz w:val="20"/>
        </w:rPr>
        <w:t> </w:t>
      </w:r>
      <w:r>
        <w:rPr>
          <w:color w:val="231F1F"/>
          <w:sz w:val="20"/>
        </w:rPr>
        <w:t>Patients.</w:t>
      </w:r>
      <w:r>
        <w:rPr>
          <w:color w:val="231F1F"/>
          <w:spacing w:val="1"/>
          <w:sz w:val="20"/>
        </w:rPr>
        <w:t> </w:t>
      </w:r>
      <w:r>
        <w:rPr>
          <w:i/>
          <w:color w:val="231F1F"/>
          <w:sz w:val="20"/>
        </w:rPr>
        <w:t>Bangladesh.</w:t>
      </w:r>
      <w:r>
        <w:rPr>
          <w:i/>
          <w:color w:val="231F1F"/>
          <w:spacing w:val="1"/>
          <w:sz w:val="20"/>
        </w:rPr>
        <w:t> </w:t>
      </w:r>
      <w:r>
        <w:rPr>
          <w:i/>
          <w:color w:val="231F1F"/>
          <w:sz w:val="20"/>
        </w:rPr>
        <w:t>J.</w:t>
      </w:r>
      <w:r>
        <w:rPr>
          <w:i/>
          <w:color w:val="231F1F"/>
          <w:spacing w:val="1"/>
          <w:sz w:val="20"/>
        </w:rPr>
        <w:t> </w:t>
      </w:r>
      <w:r>
        <w:rPr>
          <w:i/>
          <w:color w:val="231F1F"/>
          <w:sz w:val="20"/>
        </w:rPr>
        <w:t>Microbiol.</w:t>
      </w:r>
      <w:r>
        <w:rPr>
          <w:color w:val="231F1F"/>
          <w:sz w:val="20"/>
        </w:rPr>
        <w:t>,</w:t>
      </w:r>
      <w:r>
        <w:rPr>
          <w:color w:val="231F1F"/>
          <w:spacing w:val="1"/>
          <w:sz w:val="20"/>
        </w:rPr>
        <w:t> </w:t>
      </w:r>
      <w:r>
        <w:rPr>
          <w:color w:val="231F1F"/>
          <w:sz w:val="20"/>
        </w:rPr>
        <w:t>24(1),</w:t>
      </w:r>
      <w:r>
        <w:rPr>
          <w:color w:val="231F1F"/>
          <w:spacing w:val="1"/>
          <w:sz w:val="20"/>
        </w:rPr>
        <w:t> </w:t>
      </w:r>
      <w:r>
        <w:rPr>
          <w:color w:val="231F1F"/>
          <w:sz w:val="20"/>
        </w:rPr>
        <w:t>2007,</w:t>
      </w:r>
      <w:r>
        <w:rPr>
          <w:color w:val="231F1F"/>
          <w:spacing w:val="-2"/>
          <w:sz w:val="20"/>
        </w:rPr>
        <w:t> </w:t>
      </w:r>
      <w:r>
        <w:rPr>
          <w:color w:val="231F1F"/>
          <w:sz w:val="20"/>
        </w:rPr>
        <w:t>24-29.</w:t>
      </w:r>
    </w:p>
    <w:p>
      <w:pPr>
        <w:pStyle w:val="ListParagraph"/>
        <w:numPr>
          <w:ilvl w:val="0"/>
          <w:numId w:val="1"/>
        </w:numPr>
        <w:tabs>
          <w:tab w:pos="580" w:val="left" w:leader="none"/>
        </w:tabs>
        <w:spacing w:line="276" w:lineRule="auto" w:before="0" w:after="0"/>
        <w:ind w:left="580" w:right="220" w:hanging="360"/>
        <w:jc w:val="both"/>
        <w:rPr>
          <w:sz w:val="20"/>
        </w:rPr>
      </w:pPr>
      <w:r>
        <w:rPr>
          <w:sz w:val="20"/>
        </w:rPr>
        <w:t>Tebruegge</w:t>
      </w:r>
      <w:r>
        <w:rPr>
          <w:spacing w:val="1"/>
          <w:sz w:val="20"/>
        </w:rPr>
        <w:t> </w:t>
      </w:r>
      <w:r>
        <w:rPr>
          <w:sz w:val="20"/>
        </w:rPr>
        <w:t>M,</w:t>
      </w:r>
      <w:r>
        <w:rPr>
          <w:spacing w:val="1"/>
          <w:sz w:val="20"/>
        </w:rPr>
        <w:t> </w:t>
      </w:r>
      <w:r>
        <w:rPr>
          <w:sz w:val="20"/>
        </w:rPr>
        <w:t>Curtis</w:t>
      </w:r>
      <w:r>
        <w:rPr>
          <w:spacing w:val="1"/>
          <w:sz w:val="20"/>
        </w:rPr>
        <w:t> </w:t>
      </w:r>
      <w:r>
        <w:rPr>
          <w:sz w:val="20"/>
        </w:rPr>
        <w:t>N.</w:t>
      </w:r>
      <w:r>
        <w:rPr>
          <w:spacing w:val="1"/>
          <w:sz w:val="20"/>
        </w:rPr>
        <w:t> </w:t>
      </w:r>
      <w:r>
        <w:rPr>
          <w:sz w:val="20"/>
        </w:rPr>
        <w:t>Epidemiology,</w:t>
      </w:r>
      <w:r>
        <w:rPr>
          <w:spacing w:val="-47"/>
          <w:sz w:val="20"/>
        </w:rPr>
        <w:t> </w:t>
      </w:r>
      <w:r>
        <w:rPr>
          <w:sz w:val="20"/>
        </w:rPr>
        <w:t>Etiology,</w:t>
      </w:r>
      <w:r>
        <w:rPr>
          <w:spacing w:val="1"/>
          <w:sz w:val="20"/>
        </w:rPr>
        <w:t> </w:t>
      </w:r>
      <w:r>
        <w:rPr>
          <w:sz w:val="20"/>
        </w:rPr>
        <w:t>Pathogenesis,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Diagnosis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Recurrent</w:t>
      </w:r>
      <w:r>
        <w:rPr>
          <w:spacing w:val="1"/>
          <w:sz w:val="20"/>
        </w:rPr>
        <w:t> </w:t>
      </w:r>
      <w:r>
        <w:rPr>
          <w:sz w:val="20"/>
        </w:rPr>
        <w:t>Bacterial</w:t>
      </w:r>
      <w:r>
        <w:rPr>
          <w:spacing w:val="1"/>
          <w:sz w:val="20"/>
        </w:rPr>
        <w:t> </w:t>
      </w:r>
      <w:r>
        <w:rPr>
          <w:sz w:val="20"/>
        </w:rPr>
        <w:t>Meningitis.</w:t>
      </w:r>
      <w:r>
        <w:rPr>
          <w:spacing w:val="1"/>
          <w:sz w:val="20"/>
        </w:rPr>
        <w:t> </w:t>
      </w:r>
      <w:r>
        <w:rPr>
          <w:i/>
          <w:sz w:val="20"/>
        </w:rPr>
        <w:t>Clinical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Microbiology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Reviews</w:t>
      </w:r>
      <w:r>
        <w:rPr>
          <w:sz w:val="20"/>
        </w:rPr>
        <w:t>,</w:t>
      </w:r>
      <w:r>
        <w:rPr>
          <w:spacing w:val="-1"/>
          <w:sz w:val="20"/>
        </w:rPr>
        <w:t> </w:t>
      </w:r>
      <w:r>
        <w:rPr>
          <w:sz w:val="20"/>
        </w:rPr>
        <w:t>21</w:t>
      </w:r>
      <w:r>
        <w:rPr>
          <w:spacing w:val="-1"/>
          <w:sz w:val="20"/>
        </w:rPr>
        <w:t> </w:t>
      </w:r>
      <w:r>
        <w:rPr>
          <w:sz w:val="20"/>
        </w:rPr>
        <w:t>(3),</w:t>
      </w:r>
      <w:r>
        <w:rPr>
          <w:spacing w:val="-4"/>
          <w:sz w:val="20"/>
        </w:rPr>
        <w:t> </w:t>
      </w:r>
      <w:r>
        <w:rPr>
          <w:sz w:val="20"/>
        </w:rPr>
        <w:t>2008, 519–537.</w:t>
      </w:r>
    </w:p>
    <w:p>
      <w:pPr>
        <w:pStyle w:val="ListParagraph"/>
        <w:numPr>
          <w:ilvl w:val="0"/>
          <w:numId w:val="1"/>
        </w:numPr>
        <w:tabs>
          <w:tab w:pos="580" w:val="left" w:leader="none"/>
        </w:tabs>
        <w:spacing w:line="276" w:lineRule="auto" w:before="0" w:after="0"/>
        <w:ind w:left="580" w:right="225" w:hanging="360"/>
        <w:jc w:val="both"/>
        <w:rPr>
          <w:sz w:val="20"/>
        </w:rPr>
      </w:pPr>
      <w:r>
        <w:rPr>
          <w:sz w:val="20"/>
        </w:rPr>
        <w:t>Van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Beek</w:t>
      </w:r>
      <w:r>
        <w:rPr>
          <w:spacing w:val="1"/>
          <w:sz w:val="20"/>
        </w:rPr>
        <w:t> </w:t>
      </w:r>
      <w:r>
        <w:rPr>
          <w:sz w:val="20"/>
        </w:rPr>
        <w:t>D,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Gans</w:t>
      </w:r>
      <w:r>
        <w:rPr>
          <w:spacing w:val="1"/>
          <w:sz w:val="20"/>
        </w:rPr>
        <w:t> </w:t>
      </w:r>
      <w:r>
        <w:rPr>
          <w:sz w:val="20"/>
        </w:rPr>
        <w:t>J.</w:t>
      </w:r>
      <w:r>
        <w:rPr>
          <w:spacing w:val="1"/>
          <w:sz w:val="20"/>
        </w:rPr>
        <w:t> </w:t>
      </w:r>
      <w:r>
        <w:rPr>
          <w:sz w:val="20"/>
        </w:rPr>
        <w:t>Meningitis,</w:t>
      </w:r>
      <w:r>
        <w:rPr>
          <w:spacing w:val="1"/>
          <w:sz w:val="20"/>
        </w:rPr>
        <w:t> </w:t>
      </w:r>
      <w:r>
        <w:rPr>
          <w:sz w:val="20"/>
        </w:rPr>
        <w:t>Bacterial.</w:t>
      </w:r>
      <w:r>
        <w:rPr>
          <w:spacing w:val="-1"/>
          <w:sz w:val="20"/>
        </w:rPr>
        <w:t> </w:t>
      </w:r>
      <w:r>
        <w:rPr>
          <w:sz w:val="20"/>
        </w:rPr>
        <w:t>Elesvier,</w:t>
      </w:r>
      <w:r>
        <w:rPr>
          <w:spacing w:val="1"/>
          <w:sz w:val="20"/>
        </w:rPr>
        <w:t> </w:t>
      </w:r>
      <w:r>
        <w:rPr>
          <w:sz w:val="20"/>
        </w:rPr>
        <w:t>2008,</w:t>
      </w:r>
      <w:r>
        <w:rPr>
          <w:spacing w:val="-3"/>
          <w:sz w:val="20"/>
        </w:rPr>
        <w:t> </w:t>
      </w:r>
      <w:r>
        <w:rPr>
          <w:sz w:val="20"/>
        </w:rPr>
        <w:t>330-334.</w:t>
      </w:r>
    </w:p>
    <w:p>
      <w:pPr>
        <w:pStyle w:val="ListParagraph"/>
        <w:numPr>
          <w:ilvl w:val="0"/>
          <w:numId w:val="1"/>
        </w:numPr>
        <w:tabs>
          <w:tab w:pos="580" w:val="left" w:leader="none"/>
        </w:tabs>
        <w:spacing w:line="276" w:lineRule="auto" w:before="0" w:after="0"/>
        <w:ind w:left="580" w:right="218" w:hanging="360"/>
        <w:jc w:val="both"/>
        <w:rPr>
          <w:sz w:val="20"/>
        </w:rPr>
      </w:pPr>
      <w:r>
        <w:rPr>
          <w:sz w:val="20"/>
        </w:rPr>
        <w:t>Tzanakaki</w:t>
      </w:r>
      <w:r>
        <w:rPr>
          <w:spacing w:val="1"/>
          <w:sz w:val="20"/>
        </w:rPr>
        <w:t> </w:t>
      </w:r>
      <w:r>
        <w:rPr>
          <w:sz w:val="20"/>
        </w:rPr>
        <w:t>G,</w:t>
      </w:r>
      <w:r>
        <w:rPr>
          <w:spacing w:val="1"/>
          <w:sz w:val="20"/>
        </w:rPr>
        <w:t> </w:t>
      </w:r>
      <w:r>
        <w:rPr>
          <w:sz w:val="20"/>
        </w:rPr>
        <w:t>Mastrantonio</w:t>
      </w:r>
      <w:r>
        <w:rPr>
          <w:spacing w:val="1"/>
          <w:sz w:val="20"/>
        </w:rPr>
        <w:t> </w:t>
      </w:r>
      <w:r>
        <w:rPr>
          <w:sz w:val="20"/>
        </w:rPr>
        <w:t>P.</w:t>
      </w:r>
      <w:r>
        <w:rPr>
          <w:spacing w:val="1"/>
          <w:sz w:val="20"/>
        </w:rPr>
        <w:t> </w:t>
      </w:r>
      <w:r>
        <w:rPr>
          <w:sz w:val="20"/>
        </w:rPr>
        <w:t>Aetiology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bacterial</w:t>
      </w:r>
      <w:r>
        <w:rPr>
          <w:spacing w:val="1"/>
          <w:sz w:val="20"/>
        </w:rPr>
        <w:t> </w:t>
      </w:r>
      <w:r>
        <w:rPr>
          <w:sz w:val="20"/>
        </w:rPr>
        <w:t>meningitis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resistance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-47"/>
          <w:sz w:val="20"/>
        </w:rPr>
        <w:t> </w:t>
      </w:r>
      <w:r>
        <w:rPr>
          <w:sz w:val="20"/>
        </w:rPr>
        <w:t>antibiotics</w:t>
      </w:r>
      <w:r>
        <w:rPr>
          <w:spacing w:val="1"/>
          <w:sz w:val="20"/>
        </w:rPr>
        <w:t> </w:t>
      </w:r>
      <w:r>
        <w:rPr>
          <w:sz w:val="20"/>
        </w:rPr>
        <w:t>of causative</w:t>
      </w:r>
      <w:r>
        <w:rPr>
          <w:spacing w:val="1"/>
          <w:sz w:val="20"/>
        </w:rPr>
        <w:t> </w:t>
      </w:r>
      <w:r>
        <w:rPr>
          <w:sz w:val="20"/>
        </w:rPr>
        <w:t>pathogens</w:t>
      </w:r>
      <w:r>
        <w:rPr>
          <w:spacing w:val="1"/>
          <w:sz w:val="20"/>
        </w:rPr>
        <w:t> </w:t>
      </w:r>
      <w:r>
        <w:rPr>
          <w:sz w:val="20"/>
        </w:rPr>
        <w:t>in Europe</w:t>
      </w:r>
      <w:r>
        <w:rPr>
          <w:spacing w:val="1"/>
          <w:sz w:val="20"/>
        </w:rPr>
        <w:t> </w:t>
      </w:r>
      <w:r>
        <w:rPr>
          <w:sz w:val="20"/>
        </w:rPr>
        <w:t>and in the Mediterranean region. </w:t>
      </w:r>
      <w:r>
        <w:rPr>
          <w:i/>
          <w:sz w:val="20"/>
        </w:rPr>
        <w:t>International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Journal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Antimicrobial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Agents</w:t>
      </w:r>
      <w:r>
        <w:rPr>
          <w:sz w:val="20"/>
        </w:rPr>
        <w:t>,</w:t>
      </w:r>
      <w:r>
        <w:rPr>
          <w:spacing w:val="1"/>
          <w:sz w:val="20"/>
        </w:rPr>
        <w:t> </w:t>
      </w:r>
      <w:r>
        <w:rPr>
          <w:sz w:val="20"/>
        </w:rPr>
        <w:t>29,</w:t>
      </w:r>
      <w:r>
        <w:rPr>
          <w:spacing w:val="1"/>
          <w:sz w:val="20"/>
        </w:rPr>
        <w:t> </w:t>
      </w:r>
      <w:r>
        <w:rPr>
          <w:sz w:val="20"/>
        </w:rPr>
        <w:t>2007,</w:t>
      </w:r>
      <w:r>
        <w:rPr>
          <w:spacing w:val="1"/>
          <w:sz w:val="20"/>
        </w:rPr>
        <w:t> </w:t>
      </w:r>
      <w:r>
        <w:rPr>
          <w:sz w:val="20"/>
        </w:rPr>
        <w:t>621–629.</w:t>
      </w:r>
    </w:p>
    <w:p>
      <w:pPr>
        <w:pStyle w:val="ListParagraph"/>
        <w:numPr>
          <w:ilvl w:val="0"/>
          <w:numId w:val="1"/>
        </w:numPr>
        <w:tabs>
          <w:tab w:pos="580" w:val="left" w:leader="none"/>
        </w:tabs>
        <w:spacing w:line="276" w:lineRule="auto" w:before="0" w:after="0"/>
        <w:ind w:left="580" w:right="218" w:hanging="360"/>
        <w:jc w:val="both"/>
        <w:rPr>
          <w:sz w:val="20"/>
        </w:rPr>
      </w:pPr>
      <w:r>
        <w:rPr>
          <w:sz w:val="20"/>
        </w:rPr>
        <w:t>Dash N, Ameen AS, Sheek-Hussein MM, Jr</w:t>
      </w:r>
      <w:r>
        <w:rPr>
          <w:spacing w:val="1"/>
          <w:sz w:val="20"/>
        </w:rPr>
        <w:t> </w:t>
      </w:r>
      <w:r>
        <w:rPr>
          <w:sz w:val="20"/>
        </w:rPr>
        <w:t>RAS. Epidemiology of meningitis in Al-Ain,</w:t>
      </w:r>
      <w:r>
        <w:rPr>
          <w:spacing w:val="1"/>
          <w:sz w:val="20"/>
        </w:rPr>
        <w:t> </w:t>
      </w:r>
      <w:r>
        <w:rPr>
          <w:sz w:val="20"/>
        </w:rPr>
        <w:t>United</w:t>
      </w:r>
      <w:r>
        <w:rPr>
          <w:spacing w:val="1"/>
          <w:sz w:val="20"/>
        </w:rPr>
        <w:t> </w:t>
      </w:r>
      <w:r>
        <w:rPr>
          <w:sz w:val="20"/>
        </w:rPr>
        <w:t>Arab</w:t>
      </w:r>
      <w:r>
        <w:rPr>
          <w:spacing w:val="1"/>
          <w:sz w:val="20"/>
        </w:rPr>
        <w:t> </w:t>
      </w:r>
      <w:r>
        <w:rPr>
          <w:sz w:val="20"/>
        </w:rPr>
        <w:t>Emirates,</w:t>
      </w:r>
      <w:r>
        <w:rPr>
          <w:spacing w:val="1"/>
          <w:sz w:val="20"/>
        </w:rPr>
        <w:t> </w:t>
      </w:r>
      <w:r>
        <w:rPr>
          <w:sz w:val="20"/>
        </w:rPr>
        <w:t>2000—2005.</w:t>
      </w:r>
      <w:r>
        <w:rPr>
          <w:spacing w:val="1"/>
          <w:sz w:val="20"/>
        </w:rPr>
        <w:t> </w:t>
      </w:r>
      <w:r>
        <w:rPr>
          <w:i/>
          <w:sz w:val="20"/>
        </w:rPr>
        <w:t>International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Journal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Infectious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Diseases</w:t>
      </w:r>
      <w:r>
        <w:rPr>
          <w:sz w:val="20"/>
        </w:rPr>
        <w:t>,</w:t>
      </w:r>
      <w:r>
        <w:rPr>
          <w:spacing w:val="-47"/>
          <w:sz w:val="20"/>
        </w:rPr>
        <w:t> </w:t>
      </w:r>
      <w:r>
        <w:rPr>
          <w:sz w:val="20"/>
        </w:rPr>
        <w:t>11, 2007,</w:t>
      </w:r>
      <w:r>
        <w:rPr>
          <w:spacing w:val="-2"/>
          <w:sz w:val="20"/>
        </w:rPr>
        <w:t> </w:t>
      </w:r>
      <w:r>
        <w:rPr>
          <w:sz w:val="20"/>
        </w:rPr>
        <w:t>309-312.</w:t>
      </w:r>
    </w:p>
    <w:p>
      <w:pPr>
        <w:pStyle w:val="ListParagraph"/>
        <w:numPr>
          <w:ilvl w:val="0"/>
          <w:numId w:val="1"/>
        </w:numPr>
        <w:tabs>
          <w:tab w:pos="580" w:val="left" w:leader="none"/>
        </w:tabs>
        <w:spacing w:line="276" w:lineRule="auto" w:before="0" w:after="0"/>
        <w:ind w:left="580" w:right="224" w:hanging="360"/>
        <w:jc w:val="both"/>
        <w:rPr>
          <w:sz w:val="20"/>
        </w:rPr>
      </w:pPr>
      <w:r>
        <w:rPr>
          <w:sz w:val="20"/>
        </w:rPr>
        <w:t>Kalghatgi CAT, Praharaj SCAK, Sahni CAK,</w:t>
      </w:r>
      <w:r>
        <w:rPr>
          <w:spacing w:val="1"/>
          <w:sz w:val="20"/>
        </w:rPr>
        <w:t> </w:t>
      </w:r>
      <w:r>
        <w:rPr>
          <w:sz w:val="20"/>
        </w:rPr>
        <w:t>Pradhan</w:t>
      </w:r>
      <w:r>
        <w:rPr>
          <w:spacing w:val="1"/>
          <w:sz w:val="20"/>
        </w:rPr>
        <w:t> </w:t>
      </w:r>
      <w:r>
        <w:rPr>
          <w:sz w:val="20"/>
        </w:rPr>
        <w:t>D,</w:t>
      </w:r>
      <w:r>
        <w:rPr>
          <w:spacing w:val="1"/>
          <w:sz w:val="20"/>
        </w:rPr>
        <w:t> </w:t>
      </w:r>
      <w:r>
        <w:rPr>
          <w:sz w:val="20"/>
        </w:rPr>
        <w:t>Kumaravelu</w:t>
      </w:r>
      <w:r>
        <w:rPr>
          <w:spacing w:val="1"/>
          <w:sz w:val="20"/>
        </w:rPr>
        <w:t> </w:t>
      </w:r>
      <w:r>
        <w:rPr>
          <w:sz w:val="20"/>
        </w:rPr>
        <w:t>BS,</w:t>
      </w:r>
      <w:r>
        <w:rPr>
          <w:spacing w:val="1"/>
          <w:sz w:val="20"/>
        </w:rPr>
        <w:t> </w:t>
      </w:r>
      <w:r>
        <w:rPr>
          <w:sz w:val="20"/>
        </w:rPr>
        <w:t>Prasad</w:t>
      </w:r>
      <w:r>
        <w:rPr>
          <w:spacing w:val="1"/>
          <w:sz w:val="20"/>
        </w:rPr>
        <w:t> </w:t>
      </w:r>
      <w:r>
        <w:rPr>
          <w:sz w:val="20"/>
        </w:rPr>
        <w:t>CPL,</w:t>
      </w:r>
      <w:r>
        <w:rPr>
          <w:spacing w:val="1"/>
          <w:sz w:val="20"/>
        </w:rPr>
        <w:t> </w:t>
      </w:r>
      <w:r>
        <w:rPr>
          <w:sz w:val="20"/>
        </w:rPr>
        <w:t>Nagendra</w:t>
      </w:r>
      <w:r>
        <w:rPr>
          <w:spacing w:val="1"/>
          <w:sz w:val="20"/>
        </w:rPr>
        <w:t> </w:t>
      </w:r>
      <w:r>
        <w:rPr>
          <w:sz w:val="20"/>
        </w:rPr>
        <w:t>BA.</w:t>
      </w:r>
      <w:r>
        <w:rPr>
          <w:spacing w:val="1"/>
          <w:sz w:val="20"/>
        </w:rPr>
        <w:t> </w:t>
      </w:r>
      <w:r>
        <w:rPr>
          <w:sz w:val="20"/>
        </w:rPr>
        <w:t>Detection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Bacterial</w:t>
      </w:r>
      <w:r>
        <w:rPr>
          <w:spacing w:val="-47"/>
          <w:sz w:val="20"/>
        </w:rPr>
        <w:t> </w:t>
      </w:r>
      <w:r>
        <w:rPr>
          <w:sz w:val="20"/>
        </w:rPr>
        <w:t>Pathogens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Cerebrospinal</w:t>
      </w:r>
      <w:r>
        <w:rPr>
          <w:spacing w:val="1"/>
          <w:sz w:val="20"/>
        </w:rPr>
        <w:t> </w:t>
      </w:r>
      <w:r>
        <w:rPr>
          <w:sz w:val="20"/>
        </w:rPr>
        <w:t>Fluid</w:t>
      </w:r>
      <w:r>
        <w:rPr>
          <w:spacing w:val="1"/>
          <w:sz w:val="20"/>
        </w:rPr>
        <w:t> </w:t>
      </w:r>
      <w:r>
        <w:rPr>
          <w:sz w:val="20"/>
        </w:rPr>
        <w:t>using</w:t>
      </w:r>
      <w:r>
        <w:rPr>
          <w:spacing w:val="-47"/>
          <w:sz w:val="20"/>
        </w:rPr>
        <w:t> </w:t>
      </w:r>
      <w:r>
        <w:rPr>
          <w:sz w:val="20"/>
        </w:rPr>
        <w:t>Restriction</w:t>
      </w:r>
      <w:r>
        <w:rPr>
          <w:spacing w:val="1"/>
          <w:sz w:val="20"/>
        </w:rPr>
        <w:t> </w:t>
      </w:r>
      <w:r>
        <w:rPr>
          <w:sz w:val="20"/>
        </w:rPr>
        <w:t>Fragment</w:t>
      </w:r>
      <w:r>
        <w:rPr>
          <w:spacing w:val="1"/>
          <w:sz w:val="20"/>
        </w:rPr>
        <w:t> </w:t>
      </w:r>
      <w:r>
        <w:rPr>
          <w:sz w:val="20"/>
        </w:rPr>
        <w:t>Length</w:t>
      </w:r>
      <w:r>
        <w:rPr>
          <w:spacing w:val="1"/>
          <w:sz w:val="20"/>
        </w:rPr>
        <w:t> </w:t>
      </w:r>
      <w:r>
        <w:rPr>
          <w:sz w:val="20"/>
        </w:rPr>
        <w:t>Polymorphism.</w:t>
      </w:r>
      <w:r>
        <w:rPr>
          <w:spacing w:val="1"/>
          <w:sz w:val="20"/>
        </w:rPr>
        <w:t> </w:t>
      </w:r>
      <w:r>
        <w:rPr>
          <w:i/>
          <w:sz w:val="20"/>
        </w:rPr>
        <w:t>MJAFI</w:t>
      </w:r>
      <w:r>
        <w:rPr>
          <w:sz w:val="20"/>
        </w:rPr>
        <w:t>, 64,</w:t>
      </w:r>
      <w:r>
        <w:rPr>
          <w:spacing w:val="-2"/>
          <w:sz w:val="20"/>
        </w:rPr>
        <w:t> </w:t>
      </w:r>
      <w:r>
        <w:rPr>
          <w:sz w:val="20"/>
        </w:rPr>
        <w:t>2008,</w:t>
      </w:r>
      <w:r>
        <w:rPr>
          <w:spacing w:val="1"/>
          <w:sz w:val="20"/>
        </w:rPr>
        <w:t> </w:t>
      </w:r>
      <w:r>
        <w:rPr>
          <w:sz w:val="20"/>
        </w:rPr>
        <w:t>29-32.</w:t>
      </w:r>
    </w:p>
    <w:p>
      <w:pPr>
        <w:pStyle w:val="ListParagraph"/>
        <w:numPr>
          <w:ilvl w:val="0"/>
          <w:numId w:val="1"/>
        </w:numPr>
        <w:tabs>
          <w:tab w:pos="580" w:val="left" w:leader="none"/>
        </w:tabs>
        <w:spacing w:line="276" w:lineRule="auto" w:before="0" w:after="0"/>
        <w:ind w:left="580" w:right="221" w:hanging="360"/>
        <w:jc w:val="both"/>
        <w:rPr>
          <w:sz w:val="20"/>
        </w:rPr>
      </w:pPr>
      <w:r>
        <w:rPr>
          <w:sz w:val="20"/>
        </w:rPr>
        <w:t>World Health Organization. Basic laboratory</w:t>
      </w:r>
      <w:r>
        <w:rPr>
          <w:spacing w:val="1"/>
          <w:sz w:val="20"/>
        </w:rPr>
        <w:t> </w:t>
      </w:r>
      <w:r>
        <w:rPr>
          <w:sz w:val="20"/>
        </w:rPr>
        <w:t>procedures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clinical</w:t>
      </w:r>
      <w:r>
        <w:rPr>
          <w:spacing w:val="1"/>
          <w:sz w:val="20"/>
        </w:rPr>
        <w:t> </w:t>
      </w:r>
      <w:r>
        <w:rPr>
          <w:sz w:val="20"/>
        </w:rPr>
        <w:t>bacteriology,</w:t>
      </w:r>
      <w:r>
        <w:rPr>
          <w:spacing w:val="1"/>
          <w:sz w:val="20"/>
        </w:rPr>
        <w:t> </w:t>
      </w:r>
      <w:r>
        <w:rPr>
          <w:sz w:val="20"/>
        </w:rPr>
        <w:t>WHO,</w:t>
      </w:r>
      <w:r>
        <w:rPr>
          <w:spacing w:val="1"/>
          <w:sz w:val="20"/>
        </w:rPr>
        <w:t> </w:t>
      </w:r>
      <w:r>
        <w:rPr>
          <w:sz w:val="20"/>
        </w:rPr>
        <w:t>Geneva, Switzerland, 2003, 25–</w:t>
      </w:r>
      <w:r>
        <w:rPr>
          <w:spacing w:val="1"/>
          <w:sz w:val="20"/>
        </w:rPr>
        <w:t> </w:t>
      </w:r>
      <w:r>
        <w:rPr>
          <w:sz w:val="20"/>
        </w:rPr>
        <w:t>29.</w:t>
      </w:r>
    </w:p>
    <w:p>
      <w:pPr>
        <w:pStyle w:val="ListParagraph"/>
        <w:numPr>
          <w:ilvl w:val="0"/>
          <w:numId w:val="1"/>
        </w:numPr>
        <w:tabs>
          <w:tab w:pos="580" w:val="left" w:leader="none"/>
        </w:tabs>
        <w:spacing w:line="276" w:lineRule="auto" w:before="0" w:after="0"/>
        <w:ind w:left="580" w:right="220" w:hanging="360"/>
        <w:jc w:val="both"/>
        <w:rPr>
          <w:sz w:val="20"/>
        </w:rPr>
      </w:pPr>
      <w:r>
        <w:rPr>
          <w:sz w:val="20"/>
        </w:rPr>
        <w:t>Bauer,</w:t>
      </w:r>
      <w:r>
        <w:rPr>
          <w:spacing w:val="1"/>
          <w:sz w:val="20"/>
        </w:rPr>
        <w:t> </w:t>
      </w:r>
      <w:r>
        <w:rPr>
          <w:sz w:val="20"/>
        </w:rPr>
        <w:t>A.W.,</w:t>
      </w:r>
      <w:r>
        <w:rPr>
          <w:spacing w:val="1"/>
          <w:sz w:val="20"/>
        </w:rPr>
        <w:t> </w:t>
      </w:r>
      <w:r>
        <w:rPr>
          <w:sz w:val="20"/>
        </w:rPr>
        <w:t>Kirby,</w:t>
      </w:r>
      <w:r>
        <w:rPr>
          <w:spacing w:val="1"/>
          <w:sz w:val="20"/>
        </w:rPr>
        <w:t> </w:t>
      </w:r>
      <w:r>
        <w:rPr>
          <w:sz w:val="20"/>
        </w:rPr>
        <w:t>W.M.M.,</w:t>
      </w:r>
      <w:r>
        <w:rPr>
          <w:spacing w:val="1"/>
          <w:sz w:val="20"/>
        </w:rPr>
        <w:t> </w:t>
      </w:r>
      <w:r>
        <w:rPr>
          <w:sz w:val="20"/>
        </w:rPr>
        <w:t>Sherirs,</w:t>
      </w:r>
      <w:r>
        <w:rPr>
          <w:spacing w:val="1"/>
          <w:sz w:val="20"/>
        </w:rPr>
        <w:t> </w:t>
      </w:r>
      <w:r>
        <w:rPr>
          <w:sz w:val="20"/>
        </w:rPr>
        <w:t>J.C,</w:t>
      </w:r>
      <w:r>
        <w:rPr>
          <w:spacing w:val="1"/>
          <w:sz w:val="20"/>
        </w:rPr>
        <w:t> </w:t>
      </w:r>
      <w:r>
        <w:rPr>
          <w:sz w:val="20"/>
        </w:rPr>
        <w:t>Turck,M.</w:t>
      </w:r>
      <w:r>
        <w:rPr>
          <w:spacing w:val="1"/>
          <w:sz w:val="20"/>
        </w:rPr>
        <w:t> </w:t>
      </w:r>
      <w:r>
        <w:rPr>
          <w:sz w:val="20"/>
        </w:rPr>
        <w:t>Antibiotic</w:t>
      </w:r>
      <w:r>
        <w:rPr>
          <w:spacing w:val="1"/>
          <w:sz w:val="20"/>
        </w:rPr>
        <w:t> </w:t>
      </w:r>
      <w:r>
        <w:rPr>
          <w:sz w:val="20"/>
        </w:rPr>
        <w:t>susceptibility</w:t>
      </w:r>
      <w:r>
        <w:rPr>
          <w:spacing w:val="1"/>
          <w:sz w:val="20"/>
        </w:rPr>
        <w:t> </w:t>
      </w:r>
      <w:r>
        <w:rPr>
          <w:sz w:val="20"/>
        </w:rPr>
        <w:t>testing</w:t>
      </w:r>
      <w:r>
        <w:rPr>
          <w:spacing w:val="1"/>
          <w:sz w:val="20"/>
        </w:rPr>
        <w:t> </w:t>
      </w:r>
      <w:r>
        <w:rPr>
          <w:sz w:val="20"/>
        </w:rPr>
        <w:t>by</w:t>
      </w:r>
      <w:r>
        <w:rPr>
          <w:spacing w:val="-47"/>
          <w:sz w:val="20"/>
        </w:rPr>
        <w:t> </w:t>
      </w:r>
      <w:r>
        <w:rPr>
          <w:sz w:val="20"/>
        </w:rPr>
        <w:t>standard</w:t>
      </w:r>
      <w:r>
        <w:rPr>
          <w:spacing w:val="1"/>
          <w:sz w:val="20"/>
        </w:rPr>
        <w:t> </w:t>
      </w:r>
      <w:r>
        <w:rPr>
          <w:sz w:val="20"/>
        </w:rPr>
        <w:t>single</w:t>
      </w:r>
      <w:r>
        <w:rPr>
          <w:spacing w:val="1"/>
          <w:sz w:val="20"/>
        </w:rPr>
        <w:t> </w:t>
      </w:r>
      <w:r>
        <w:rPr>
          <w:sz w:val="20"/>
        </w:rPr>
        <w:t>disk</w:t>
      </w:r>
      <w:r>
        <w:rPr>
          <w:spacing w:val="1"/>
          <w:sz w:val="20"/>
        </w:rPr>
        <w:t> </w:t>
      </w:r>
      <w:r>
        <w:rPr>
          <w:sz w:val="20"/>
        </w:rPr>
        <w:t>method.</w:t>
      </w:r>
      <w:r>
        <w:rPr>
          <w:spacing w:val="1"/>
          <w:sz w:val="20"/>
        </w:rPr>
        <w:t> </w:t>
      </w:r>
      <w:r>
        <w:rPr>
          <w:i/>
          <w:sz w:val="20"/>
        </w:rPr>
        <w:t>Am.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J.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Clin.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Pathol. </w:t>
      </w:r>
      <w:r>
        <w:rPr>
          <w:sz w:val="20"/>
        </w:rPr>
        <w:t>45,</w:t>
      </w:r>
      <w:r>
        <w:rPr>
          <w:spacing w:val="1"/>
          <w:sz w:val="20"/>
        </w:rPr>
        <w:t> </w:t>
      </w:r>
      <w:r>
        <w:rPr>
          <w:sz w:val="20"/>
        </w:rPr>
        <w:t>1966,</w:t>
      </w:r>
      <w:r>
        <w:rPr>
          <w:spacing w:val="1"/>
          <w:sz w:val="20"/>
        </w:rPr>
        <w:t> </w:t>
      </w:r>
      <w:r>
        <w:rPr>
          <w:sz w:val="20"/>
        </w:rPr>
        <w:t>433-496.</w:t>
      </w:r>
    </w:p>
    <w:p>
      <w:pPr>
        <w:spacing w:after="0" w:line="276" w:lineRule="auto"/>
        <w:jc w:val="both"/>
        <w:rPr>
          <w:sz w:val="20"/>
        </w:rPr>
        <w:sectPr>
          <w:pgSz w:w="11910" w:h="16840"/>
          <w:pgMar w:header="722" w:footer="748" w:top="1340" w:bottom="940" w:left="1220" w:right="1220"/>
          <w:cols w:num="2" w:equalWidth="0">
            <w:col w:w="4415" w:space="457"/>
            <w:col w:w="4598"/>
          </w:cols>
        </w:sectPr>
      </w:pPr>
    </w:p>
    <w:p>
      <w:pPr>
        <w:pStyle w:val="ListParagraph"/>
        <w:numPr>
          <w:ilvl w:val="0"/>
          <w:numId w:val="1"/>
        </w:numPr>
        <w:tabs>
          <w:tab w:pos="580" w:val="left" w:leader="none"/>
        </w:tabs>
        <w:spacing w:line="276" w:lineRule="auto" w:before="80" w:after="0"/>
        <w:ind w:left="580" w:right="39" w:hanging="360"/>
        <w:jc w:val="both"/>
        <w:rPr>
          <w:sz w:val="20"/>
        </w:rPr>
      </w:pPr>
      <w:r>
        <w:rPr>
          <w:sz w:val="20"/>
        </w:rPr>
        <w:t>National</w:t>
      </w:r>
      <w:r>
        <w:rPr>
          <w:spacing w:val="1"/>
          <w:sz w:val="20"/>
        </w:rPr>
        <w:t> </w:t>
      </w:r>
      <w:r>
        <w:rPr>
          <w:sz w:val="20"/>
        </w:rPr>
        <w:t>Committee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Clinical</w:t>
      </w:r>
      <w:r>
        <w:rPr>
          <w:spacing w:val="1"/>
          <w:sz w:val="20"/>
        </w:rPr>
        <w:t> </w:t>
      </w:r>
      <w:r>
        <w:rPr>
          <w:sz w:val="20"/>
        </w:rPr>
        <w:t>Laboratory</w:t>
      </w:r>
      <w:r>
        <w:rPr>
          <w:spacing w:val="1"/>
          <w:sz w:val="20"/>
        </w:rPr>
        <w:t> </w:t>
      </w:r>
      <w:r>
        <w:rPr>
          <w:sz w:val="20"/>
        </w:rPr>
        <w:t>Standards.</w:t>
      </w:r>
      <w:r>
        <w:rPr>
          <w:spacing w:val="1"/>
          <w:sz w:val="20"/>
        </w:rPr>
        <w:t> </w:t>
      </w:r>
      <w:r>
        <w:rPr>
          <w:sz w:val="20"/>
        </w:rPr>
        <w:t>Performance</w:t>
      </w:r>
      <w:r>
        <w:rPr>
          <w:spacing w:val="1"/>
          <w:sz w:val="20"/>
        </w:rPr>
        <w:t> </w:t>
      </w:r>
      <w:r>
        <w:rPr>
          <w:sz w:val="20"/>
        </w:rPr>
        <w:t>standards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-47"/>
          <w:sz w:val="20"/>
        </w:rPr>
        <w:t> </w:t>
      </w:r>
      <w:r>
        <w:rPr>
          <w:sz w:val="20"/>
        </w:rPr>
        <w:t>antimicrobial</w:t>
      </w:r>
      <w:r>
        <w:rPr>
          <w:spacing w:val="1"/>
          <w:sz w:val="20"/>
        </w:rPr>
        <w:t> </w:t>
      </w:r>
      <w:r>
        <w:rPr>
          <w:sz w:val="20"/>
        </w:rPr>
        <w:t>disc</w:t>
      </w:r>
      <w:r>
        <w:rPr>
          <w:spacing w:val="1"/>
          <w:sz w:val="20"/>
        </w:rPr>
        <w:t> </w:t>
      </w:r>
      <w:r>
        <w:rPr>
          <w:sz w:val="20"/>
        </w:rPr>
        <w:t>susceptibility</w:t>
      </w:r>
      <w:r>
        <w:rPr>
          <w:spacing w:val="1"/>
          <w:sz w:val="20"/>
        </w:rPr>
        <w:t> </w:t>
      </w:r>
      <w:r>
        <w:rPr>
          <w:sz w:val="20"/>
        </w:rPr>
        <w:t>tests.</w:t>
      </w:r>
      <w:r>
        <w:rPr>
          <w:spacing w:val="-47"/>
          <w:sz w:val="20"/>
        </w:rPr>
        <w:t> </w:t>
      </w:r>
      <w:r>
        <w:rPr>
          <w:sz w:val="20"/>
        </w:rPr>
        <w:t>Approved</w:t>
      </w:r>
      <w:r>
        <w:rPr>
          <w:spacing w:val="1"/>
          <w:sz w:val="20"/>
        </w:rPr>
        <w:t> </w:t>
      </w:r>
      <w:r>
        <w:rPr>
          <w:sz w:val="20"/>
        </w:rPr>
        <w:t>Standard,</w:t>
      </w:r>
      <w:r>
        <w:rPr>
          <w:spacing w:val="1"/>
          <w:sz w:val="20"/>
        </w:rPr>
        <w:t> </w:t>
      </w:r>
      <w:r>
        <w:rPr>
          <w:sz w:val="20"/>
        </w:rPr>
        <w:t>ASM-2</w:t>
      </w:r>
      <w:r>
        <w:rPr>
          <w:spacing w:val="1"/>
          <w:sz w:val="20"/>
        </w:rPr>
        <w:t> </w:t>
      </w:r>
      <w:r>
        <w:rPr>
          <w:sz w:val="20"/>
        </w:rPr>
        <w:t>(</w:t>
      </w:r>
      <w:r>
        <w:rPr>
          <w:spacing w:val="1"/>
          <w:sz w:val="20"/>
        </w:rPr>
        <w:t> </w:t>
      </w:r>
      <w:r>
        <w:rPr>
          <w:sz w:val="20"/>
        </w:rPr>
        <w:t>2nd</w:t>
      </w:r>
      <w:r>
        <w:rPr>
          <w:spacing w:val="51"/>
          <w:sz w:val="20"/>
        </w:rPr>
        <w:t> </w:t>
      </w:r>
      <w:r>
        <w:rPr>
          <w:sz w:val="20"/>
        </w:rPr>
        <w:t>ed.)</w:t>
      </w:r>
      <w:r>
        <w:rPr>
          <w:spacing w:val="1"/>
          <w:sz w:val="20"/>
        </w:rPr>
        <w:t> </w:t>
      </w:r>
      <w:r>
        <w:rPr>
          <w:sz w:val="20"/>
        </w:rPr>
        <w:t>NCCLS, Villanovan, pa.</w:t>
      </w:r>
      <w:r>
        <w:rPr>
          <w:spacing w:val="1"/>
          <w:sz w:val="20"/>
        </w:rPr>
        <w:t> </w:t>
      </w:r>
      <w:r>
        <w:rPr>
          <w:sz w:val="20"/>
        </w:rPr>
        <w:t>1979.</w:t>
      </w:r>
    </w:p>
    <w:p>
      <w:pPr>
        <w:pStyle w:val="ListParagraph"/>
        <w:numPr>
          <w:ilvl w:val="0"/>
          <w:numId w:val="1"/>
        </w:numPr>
        <w:tabs>
          <w:tab w:pos="580" w:val="left" w:leader="none"/>
        </w:tabs>
        <w:spacing w:line="276" w:lineRule="auto" w:before="1" w:after="0"/>
        <w:ind w:left="580" w:right="38" w:hanging="360"/>
        <w:jc w:val="both"/>
        <w:rPr>
          <w:sz w:val="20"/>
        </w:rPr>
      </w:pPr>
      <w:r>
        <w:rPr>
          <w:sz w:val="20"/>
        </w:rPr>
        <w:t>Guirguis N, Hafez K, El Kholy MA, Robbins</w:t>
      </w:r>
      <w:r>
        <w:rPr>
          <w:spacing w:val="1"/>
          <w:sz w:val="20"/>
        </w:rPr>
        <w:t> </w:t>
      </w:r>
      <w:r>
        <w:rPr>
          <w:sz w:val="20"/>
        </w:rPr>
        <w:t>JB,</w:t>
      </w:r>
      <w:r>
        <w:rPr>
          <w:spacing w:val="1"/>
          <w:sz w:val="20"/>
        </w:rPr>
        <w:t> </w:t>
      </w:r>
      <w:r>
        <w:rPr>
          <w:sz w:val="20"/>
        </w:rPr>
        <w:t>Gotschlich</w:t>
      </w:r>
      <w:r>
        <w:rPr>
          <w:spacing w:val="1"/>
          <w:sz w:val="20"/>
        </w:rPr>
        <w:t> </w:t>
      </w:r>
      <w:r>
        <w:rPr>
          <w:sz w:val="20"/>
        </w:rPr>
        <w:t>EC.</w:t>
      </w:r>
      <w:r>
        <w:rPr>
          <w:spacing w:val="1"/>
          <w:sz w:val="20"/>
        </w:rPr>
        <w:t> </w:t>
      </w:r>
      <w:r>
        <w:rPr>
          <w:sz w:val="20"/>
        </w:rPr>
        <w:t>Bacterial</w:t>
      </w:r>
      <w:r>
        <w:rPr>
          <w:spacing w:val="1"/>
          <w:sz w:val="20"/>
        </w:rPr>
        <w:t> </w:t>
      </w:r>
      <w:r>
        <w:rPr>
          <w:sz w:val="20"/>
        </w:rPr>
        <w:t>meningitis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Egypt: analysis of CSF isolates from hospital</w:t>
      </w:r>
      <w:r>
        <w:rPr>
          <w:spacing w:val="1"/>
          <w:sz w:val="20"/>
        </w:rPr>
        <w:t> </w:t>
      </w:r>
      <w:r>
        <w:rPr>
          <w:sz w:val="20"/>
        </w:rPr>
        <w:t>patients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Cairo,</w:t>
      </w:r>
      <w:r>
        <w:rPr>
          <w:spacing w:val="1"/>
          <w:sz w:val="20"/>
        </w:rPr>
        <w:t> </w:t>
      </w:r>
      <w:r>
        <w:rPr>
          <w:sz w:val="20"/>
        </w:rPr>
        <w:t>1977-78.</w:t>
      </w:r>
      <w:r>
        <w:rPr>
          <w:spacing w:val="1"/>
          <w:sz w:val="20"/>
        </w:rPr>
        <w:t> </w:t>
      </w:r>
      <w:r>
        <w:rPr>
          <w:i/>
          <w:sz w:val="20"/>
        </w:rPr>
        <w:t>Bulletin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World Health Organization</w:t>
      </w:r>
      <w:r>
        <w:rPr>
          <w:sz w:val="20"/>
        </w:rPr>
        <w:t>, 61 (3), 1983, 517-</w:t>
      </w:r>
      <w:r>
        <w:rPr>
          <w:spacing w:val="-47"/>
          <w:sz w:val="20"/>
        </w:rPr>
        <w:t> </w:t>
      </w:r>
      <w:r>
        <w:rPr>
          <w:sz w:val="20"/>
        </w:rPr>
        <w:t>524.</w:t>
      </w:r>
    </w:p>
    <w:p>
      <w:pPr>
        <w:pStyle w:val="ListParagraph"/>
        <w:numPr>
          <w:ilvl w:val="0"/>
          <w:numId w:val="1"/>
        </w:numPr>
        <w:tabs>
          <w:tab w:pos="580" w:val="left" w:leader="none"/>
        </w:tabs>
        <w:spacing w:line="276" w:lineRule="auto" w:before="0" w:after="0"/>
        <w:ind w:left="580" w:right="38" w:hanging="360"/>
        <w:jc w:val="both"/>
        <w:rPr>
          <w:sz w:val="20"/>
        </w:rPr>
      </w:pPr>
      <w:r>
        <w:rPr>
          <w:sz w:val="20"/>
        </w:rPr>
        <w:t>Campagne G,</w:t>
      </w:r>
      <w:r>
        <w:rPr>
          <w:spacing w:val="1"/>
          <w:sz w:val="20"/>
        </w:rPr>
        <w:t> </w:t>
      </w:r>
      <w:r>
        <w:rPr>
          <w:sz w:val="20"/>
        </w:rPr>
        <w:t>Schuchat</w:t>
      </w:r>
      <w:r>
        <w:rPr>
          <w:spacing w:val="1"/>
          <w:sz w:val="20"/>
        </w:rPr>
        <w:t> </w:t>
      </w:r>
      <w:r>
        <w:rPr>
          <w:sz w:val="20"/>
        </w:rPr>
        <w:t>A,</w:t>
      </w:r>
      <w:r>
        <w:rPr>
          <w:spacing w:val="1"/>
          <w:sz w:val="20"/>
        </w:rPr>
        <w:t> </w:t>
      </w:r>
      <w:r>
        <w:rPr>
          <w:sz w:val="20"/>
        </w:rPr>
        <w:t>Djibo S,</w:t>
      </w:r>
      <w:r>
        <w:rPr>
          <w:spacing w:val="50"/>
          <w:sz w:val="20"/>
        </w:rPr>
        <w:t> </w:t>
      </w:r>
      <w:r>
        <w:rPr>
          <w:sz w:val="20"/>
        </w:rPr>
        <w:t>Ousseini</w:t>
      </w:r>
      <w:r>
        <w:rPr>
          <w:spacing w:val="-48"/>
          <w:sz w:val="20"/>
        </w:rPr>
        <w:t> </w:t>
      </w:r>
      <w:r>
        <w:rPr>
          <w:sz w:val="20"/>
        </w:rPr>
        <w:t>A, Cisse L,</w:t>
      </w:r>
      <w:r>
        <w:rPr>
          <w:spacing w:val="1"/>
          <w:sz w:val="20"/>
        </w:rPr>
        <w:t> </w:t>
      </w:r>
      <w:r>
        <w:rPr>
          <w:sz w:val="20"/>
        </w:rPr>
        <w:t>Chippaux JP. Epidemiology of</w:t>
      </w:r>
      <w:r>
        <w:rPr>
          <w:spacing w:val="1"/>
          <w:sz w:val="20"/>
        </w:rPr>
        <w:t> </w:t>
      </w:r>
      <w:r>
        <w:rPr>
          <w:sz w:val="20"/>
        </w:rPr>
        <w:t>bacterial</w:t>
      </w:r>
      <w:r>
        <w:rPr>
          <w:spacing w:val="36"/>
          <w:sz w:val="20"/>
        </w:rPr>
        <w:t> </w:t>
      </w:r>
      <w:r>
        <w:rPr>
          <w:sz w:val="20"/>
        </w:rPr>
        <w:t>meningitis</w:t>
      </w:r>
      <w:r>
        <w:rPr>
          <w:spacing w:val="37"/>
          <w:sz w:val="20"/>
        </w:rPr>
        <w:t> </w:t>
      </w:r>
      <w:r>
        <w:rPr>
          <w:sz w:val="20"/>
        </w:rPr>
        <w:t>in</w:t>
      </w:r>
      <w:r>
        <w:rPr>
          <w:spacing w:val="36"/>
          <w:sz w:val="20"/>
        </w:rPr>
        <w:t> </w:t>
      </w:r>
      <w:r>
        <w:rPr>
          <w:sz w:val="20"/>
        </w:rPr>
        <w:t>Niamey,</w:t>
      </w:r>
      <w:r>
        <w:rPr>
          <w:spacing w:val="36"/>
          <w:sz w:val="20"/>
        </w:rPr>
        <w:t> </w:t>
      </w:r>
      <w:r>
        <w:rPr>
          <w:sz w:val="20"/>
        </w:rPr>
        <w:t>Niger,</w:t>
      </w:r>
      <w:r>
        <w:rPr>
          <w:spacing w:val="35"/>
          <w:sz w:val="20"/>
        </w:rPr>
        <w:t> </w:t>
      </w:r>
      <w:r>
        <w:rPr>
          <w:sz w:val="20"/>
        </w:rPr>
        <w:t>1981-</w:t>
      </w:r>
    </w:p>
    <w:p>
      <w:pPr>
        <w:spacing w:line="276" w:lineRule="auto" w:before="0"/>
        <w:ind w:left="580" w:right="38" w:firstLine="0"/>
        <w:jc w:val="both"/>
        <w:rPr>
          <w:sz w:val="20"/>
        </w:rPr>
      </w:pPr>
      <w:r>
        <w:rPr>
          <w:sz w:val="20"/>
        </w:rPr>
        <w:t>96. </w:t>
      </w:r>
      <w:r>
        <w:rPr>
          <w:i/>
          <w:sz w:val="20"/>
        </w:rPr>
        <w:t>Bulletin of the World Health Organization</w:t>
      </w:r>
      <w:r>
        <w:rPr>
          <w:sz w:val="20"/>
        </w:rPr>
        <w:t>,</w:t>
      </w:r>
      <w:r>
        <w:rPr>
          <w:spacing w:val="1"/>
          <w:sz w:val="20"/>
        </w:rPr>
        <w:t> </w:t>
      </w:r>
      <w:r>
        <w:rPr>
          <w:sz w:val="20"/>
        </w:rPr>
        <w:t>77 (6),</w:t>
      </w:r>
      <w:r>
        <w:rPr>
          <w:spacing w:val="1"/>
          <w:sz w:val="20"/>
        </w:rPr>
        <w:t> </w:t>
      </w:r>
      <w:r>
        <w:rPr>
          <w:sz w:val="20"/>
        </w:rPr>
        <w:t>1999,</w:t>
      </w:r>
      <w:r>
        <w:rPr>
          <w:spacing w:val="-2"/>
          <w:sz w:val="20"/>
        </w:rPr>
        <w:t> </w:t>
      </w:r>
      <w:r>
        <w:rPr>
          <w:sz w:val="20"/>
        </w:rPr>
        <w:t>499-508.</w:t>
      </w:r>
    </w:p>
    <w:p>
      <w:pPr>
        <w:pStyle w:val="ListParagraph"/>
        <w:numPr>
          <w:ilvl w:val="0"/>
          <w:numId w:val="1"/>
        </w:numPr>
        <w:tabs>
          <w:tab w:pos="580" w:val="left" w:leader="none"/>
        </w:tabs>
        <w:spacing w:line="276" w:lineRule="auto" w:before="0" w:after="0"/>
        <w:ind w:left="580" w:right="40" w:hanging="360"/>
        <w:jc w:val="both"/>
        <w:rPr>
          <w:sz w:val="20"/>
        </w:rPr>
      </w:pPr>
      <w:r>
        <w:rPr>
          <w:sz w:val="20"/>
        </w:rPr>
        <w:t>Jones ME, Draghi DC, Karlowsky JA, Sahm</w:t>
      </w:r>
      <w:r>
        <w:rPr>
          <w:spacing w:val="1"/>
          <w:sz w:val="20"/>
        </w:rPr>
        <w:t> </w:t>
      </w:r>
      <w:r>
        <w:rPr>
          <w:sz w:val="20"/>
        </w:rPr>
        <w:t>DF,</w:t>
      </w:r>
      <w:r>
        <w:rPr>
          <w:spacing w:val="1"/>
          <w:sz w:val="20"/>
        </w:rPr>
        <w:t> </w:t>
      </w:r>
      <w:r>
        <w:rPr>
          <w:sz w:val="20"/>
        </w:rPr>
        <w:t>Bradley JS.</w:t>
      </w:r>
      <w:r>
        <w:rPr>
          <w:spacing w:val="1"/>
          <w:sz w:val="20"/>
        </w:rPr>
        <w:t> </w:t>
      </w:r>
      <w:r>
        <w:rPr>
          <w:sz w:val="20"/>
        </w:rPr>
        <w:t>Prevalence</w:t>
      </w:r>
      <w:r>
        <w:rPr>
          <w:spacing w:val="1"/>
          <w:sz w:val="20"/>
        </w:rPr>
        <w:t> </w:t>
      </w:r>
      <w:r>
        <w:rPr>
          <w:sz w:val="20"/>
        </w:rPr>
        <w:t>of antimicrobial</w:t>
      </w:r>
      <w:r>
        <w:rPr>
          <w:spacing w:val="1"/>
          <w:sz w:val="20"/>
        </w:rPr>
        <w:t> </w:t>
      </w:r>
      <w:r>
        <w:rPr>
          <w:sz w:val="20"/>
        </w:rPr>
        <w:t>resistance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bacteria</w:t>
      </w:r>
      <w:r>
        <w:rPr>
          <w:spacing w:val="1"/>
          <w:sz w:val="20"/>
        </w:rPr>
        <w:t> </w:t>
      </w:r>
      <w:r>
        <w:rPr>
          <w:sz w:val="20"/>
        </w:rPr>
        <w:t>isolated</w:t>
      </w:r>
      <w:r>
        <w:rPr>
          <w:spacing w:val="1"/>
          <w:sz w:val="20"/>
        </w:rPr>
        <w:t> </w:t>
      </w:r>
      <w:r>
        <w:rPr>
          <w:sz w:val="20"/>
        </w:rPr>
        <w:t>from</w:t>
      </w:r>
      <w:r>
        <w:rPr>
          <w:spacing w:val="1"/>
          <w:sz w:val="20"/>
        </w:rPr>
        <w:t> </w:t>
      </w:r>
      <w:r>
        <w:rPr>
          <w:sz w:val="20"/>
        </w:rPr>
        <w:t>central</w:t>
      </w:r>
      <w:r>
        <w:rPr>
          <w:spacing w:val="1"/>
          <w:sz w:val="20"/>
        </w:rPr>
        <w:t> </w:t>
      </w:r>
      <w:r>
        <w:rPr>
          <w:sz w:val="20"/>
        </w:rPr>
        <w:t>nervous system specimens as reported by U.S.</w:t>
      </w:r>
      <w:r>
        <w:rPr>
          <w:spacing w:val="1"/>
          <w:sz w:val="20"/>
        </w:rPr>
        <w:t> </w:t>
      </w:r>
      <w:r>
        <w:rPr>
          <w:sz w:val="20"/>
        </w:rPr>
        <w:t>hospital</w:t>
      </w:r>
      <w:r>
        <w:rPr>
          <w:spacing w:val="1"/>
          <w:sz w:val="20"/>
        </w:rPr>
        <w:t> </w:t>
      </w:r>
      <w:r>
        <w:rPr>
          <w:sz w:val="20"/>
        </w:rPr>
        <w:t>laboratories</w:t>
      </w:r>
      <w:r>
        <w:rPr>
          <w:spacing w:val="1"/>
          <w:sz w:val="20"/>
        </w:rPr>
        <w:t> </w:t>
      </w:r>
      <w:r>
        <w:rPr>
          <w:sz w:val="20"/>
        </w:rPr>
        <w:t>from</w:t>
      </w:r>
      <w:r>
        <w:rPr>
          <w:spacing w:val="1"/>
          <w:sz w:val="20"/>
        </w:rPr>
        <w:t> </w:t>
      </w:r>
      <w:r>
        <w:rPr>
          <w:sz w:val="20"/>
        </w:rPr>
        <w:t>2000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51"/>
          <w:sz w:val="20"/>
        </w:rPr>
        <w:t> </w:t>
      </w:r>
      <w:r>
        <w:rPr>
          <w:sz w:val="20"/>
        </w:rPr>
        <w:t>2002.</w:t>
      </w:r>
      <w:r>
        <w:rPr>
          <w:spacing w:val="1"/>
          <w:sz w:val="20"/>
        </w:rPr>
        <w:t> </w:t>
      </w:r>
      <w:r>
        <w:rPr>
          <w:i/>
          <w:sz w:val="20"/>
        </w:rPr>
        <w:t>Annals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Clinical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Microbiology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7"/>
          <w:sz w:val="20"/>
        </w:rPr>
        <w:t> </w:t>
      </w:r>
      <w:r>
        <w:rPr>
          <w:i/>
          <w:sz w:val="20"/>
        </w:rPr>
        <w:t>Antimicrobials</w:t>
      </w:r>
      <w:r>
        <w:rPr>
          <w:i/>
          <w:spacing w:val="-1"/>
          <w:sz w:val="20"/>
        </w:rPr>
        <w:t> </w:t>
      </w:r>
      <w:r>
        <w:rPr>
          <w:sz w:val="20"/>
        </w:rPr>
        <w:t>3</w:t>
      </w:r>
      <w:r>
        <w:rPr>
          <w:b/>
          <w:sz w:val="20"/>
        </w:rPr>
        <w:t>,</w:t>
      </w:r>
      <w:r>
        <w:rPr>
          <w:b/>
          <w:spacing w:val="1"/>
          <w:sz w:val="20"/>
        </w:rPr>
        <w:t> </w:t>
      </w:r>
      <w:r>
        <w:rPr>
          <w:sz w:val="20"/>
        </w:rPr>
        <w:t>2004,</w:t>
      </w:r>
      <w:r>
        <w:rPr>
          <w:spacing w:val="1"/>
          <w:sz w:val="20"/>
        </w:rPr>
        <w:t> </w:t>
      </w:r>
      <w:r>
        <w:rPr>
          <w:sz w:val="20"/>
        </w:rPr>
        <w:t>3.</w:t>
      </w:r>
    </w:p>
    <w:p>
      <w:pPr>
        <w:pStyle w:val="ListParagraph"/>
        <w:numPr>
          <w:ilvl w:val="0"/>
          <w:numId w:val="1"/>
        </w:numPr>
        <w:tabs>
          <w:tab w:pos="580" w:val="left" w:leader="none"/>
        </w:tabs>
        <w:spacing w:line="276" w:lineRule="auto" w:before="1" w:after="0"/>
        <w:ind w:left="580" w:right="38" w:hanging="360"/>
        <w:jc w:val="both"/>
        <w:rPr>
          <w:sz w:val="20"/>
        </w:rPr>
      </w:pPr>
      <w:r>
        <w:rPr>
          <w:sz w:val="20"/>
        </w:rPr>
        <w:t>Lu CH,</w:t>
      </w:r>
      <w:r>
        <w:rPr>
          <w:spacing w:val="1"/>
          <w:sz w:val="20"/>
        </w:rPr>
        <w:t> </w:t>
      </w:r>
      <w:r>
        <w:rPr>
          <w:sz w:val="20"/>
        </w:rPr>
        <w:t>Huang</w:t>
      </w:r>
      <w:r>
        <w:rPr>
          <w:spacing w:val="1"/>
          <w:sz w:val="20"/>
        </w:rPr>
        <w:t> </w:t>
      </w:r>
      <w:r>
        <w:rPr>
          <w:sz w:val="20"/>
        </w:rPr>
        <w:t>CR,</w:t>
      </w:r>
      <w:r>
        <w:rPr>
          <w:spacing w:val="1"/>
          <w:sz w:val="20"/>
        </w:rPr>
        <w:t> </w:t>
      </w:r>
      <w:r>
        <w:rPr>
          <w:sz w:val="20"/>
        </w:rPr>
        <w:t>Chang</w:t>
      </w:r>
      <w:r>
        <w:rPr>
          <w:spacing w:val="1"/>
          <w:sz w:val="20"/>
        </w:rPr>
        <w:t> </w:t>
      </w:r>
      <w:r>
        <w:rPr>
          <w:sz w:val="20"/>
        </w:rPr>
        <w:t>WN,</w:t>
      </w:r>
      <w:r>
        <w:rPr>
          <w:spacing w:val="1"/>
          <w:sz w:val="20"/>
        </w:rPr>
        <w:t> </w:t>
      </w:r>
      <w:r>
        <w:rPr>
          <w:sz w:val="20"/>
        </w:rPr>
        <w:t>Chang</w:t>
      </w:r>
      <w:r>
        <w:rPr>
          <w:spacing w:val="1"/>
          <w:sz w:val="20"/>
        </w:rPr>
        <w:t> </w:t>
      </w:r>
      <w:r>
        <w:rPr>
          <w:sz w:val="20"/>
        </w:rPr>
        <w:t>CJ,</w:t>
      </w:r>
      <w:r>
        <w:rPr>
          <w:spacing w:val="1"/>
          <w:sz w:val="20"/>
        </w:rPr>
        <w:t> </w:t>
      </w:r>
      <w:r>
        <w:rPr>
          <w:sz w:val="20"/>
        </w:rPr>
        <w:t>Cheng</w:t>
      </w:r>
      <w:r>
        <w:rPr>
          <w:spacing w:val="1"/>
          <w:sz w:val="20"/>
        </w:rPr>
        <w:t> </w:t>
      </w:r>
      <w:r>
        <w:rPr>
          <w:sz w:val="20"/>
        </w:rPr>
        <w:t>BC,</w:t>
      </w:r>
      <w:r>
        <w:rPr>
          <w:spacing w:val="1"/>
          <w:sz w:val="20"/>
        </w:rPr>
        <w:t> </w:t>
      </w:r>
      <w:r>
        <w:rPr>
          <w:sz w:val="20"/>
        </w:rPr>
        <w:t>Lee</w:t>
      </w:r>
      <w:r>
        <w:rPr>
          <w:spacing w:val="1"/>
          <w:sz w:val="20"/>
        </w:rPr>
        <w:t> </w:t>
      </w:r>
      <w:r>
        <w:rPr>
          <w:sz w:val="20"/>
        </w:rPr>
        <w:t>PY,</w:t>
      </w:r>
      <w:r>
        <w:rPr>
          <w:spacing w:val="1"/>
          <w:sz w:val="20"/>
        </w:rPr>
        <w:t> </w:t>
      </w:r>
      <w:r>
        <w:rPr>
          <w:sz w:val="20"/>
        </w:rPr>
        <w:t>Lin</w:t>
      </w:r>
      <w:r>
        <w:rPr>
          <w:spacing w:val="1"/>
          <w:sz w:val="20"/>
        </w:rPr>
        <w:t> </w:t>
      </w:r>
      <w:r>
        <w:rPr>
          <w:sz w:val="20"/>
        </w:rPr>
        <w:t>MW,</w:t>
      </w:r>
      <w:r>
        <w:rPr>
          <w:spacing w:val="1"/>
          <w:sz w:val="20"/>
        </w:rPr>
        <w:t> </w:t>
      </w:r>
      <w:r>
        <w:rPr>
          <w:sz w:val="20"/>
        </w:rPr>
        <w:t>Chang</w:t>
      </w:r>
      <w:r>
        <w:rPr>
          <w:spacing w:val="1"/>
          <w:sz w:val="20"/>
        </w:rPr>
        <w:t> </w:t>
      </w:r>
      <w:r>
        <w:rPr>
          <w:sz w:val="20"/>
        </w:rPr>
        <w:t>HW.</w:t>
      </w:r>
      <w:r>
        <w:rPr>
          <w:spacing w:val="1"/>
          <w:sz w:val="20"/>
        </w:rPr>
        <w:t> </w:t>
      </w:r>
      <w:r>
        <w:rPr>
          <w:sz w:val="20"/>
        </w:rPr>
        <w:t>Community-acquired</w:t>
      </w:r>
      <w:r>
        <w:rPr>
          <w:spacing w:val="1"/>
          <w:sz w:val="20"/>
        </w:rPr>
        <w:t> </w:t>
      </w:r>
      <w:r>
        <w:rPr>
          <w:sz w:val="20"/>
        </w:rPr>
        <w:t>bacterial</w:t>
      </w:r>
      <w:r>
        <w:rPr>
          <w:spacing w:val="1"/>
          <w:sz w:val="20"/>
        </w:rPr>
        <w:t> </w:t>
      </w:r>
      <w:r>
        <w:rPr>
          <w:sz w:val="20"/>
        </w:rPr>
        <w:t>meningitis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adults: the epidemiology, timing of appropriate</w:t>
      </w:r>
      <w:r>
        <w:rPr>
          <w:spacing w:val="-47"/>
          <w:sz w:val="20"/>
        </w:rPr>
        <w:t> </w:t>
      </w:r>
      <w:r>
        <w:rPr>
          <w:sz w:val="20"/>
        </w:rPr>
        <w:t>antimicrobial therapy, and prognostic factors.</w:t>
      </w:r>
      <w:r>
        <w:rPr>
          <w:spacing w:val="1"/>
          <w:sz w:val="20"/>
        </w:rPr>
        <w:t> </w:t>
      </w:r>
      <w:r>
        <w:rPr>
          <w:i/>
          <w:sz w:val="20"/>
        </w:rPr>
        <w:t>Clinical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Neurology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Neurosurgery</w:t>
      </w:r>
      <w:r>
        <w:rPr>
          <w:sz w:val="20"/>
        </w:rPr>
        <w:t>,</w:t>
      </w:r>
      <w:r>
        <w:rPr>
          <w:spacing w:val="1"/>
          <w:sz w:val="20"/>
        </w:rPr>
        <w:t> </w:t>
      </w:r>
      <w:r>
        <w:rPr>
          <w:sz w:val="20"/>
        </w:rPr>
        <w:t>104,</w:t>
      </w:r>
      <w:r>
        <w:rPr>
          <w:spacing w:val="1"/>
          <w:sz w:val="20"/>
        </w:rPr>
        <w:t> </w:t>
      </w:r>
      <w:r>
        <w:rPr>
          <w:sz w:val="20"/>
        </w:rPr>
        <w:t>2002,</w:t>
      </w:r>
      <w:r>
        <w:rPr>
          <w:spacing w:val="-2"/>
          <w:sz w:val="20"/>
        </w:rPr>
        <w:t> </w:t>
      </w:r>
      <w:r>
        <w:rPr>
          <w:sz w:val="20"/>
        </w:rPr>
        <w:t>352-358.</w:t>
      </w:r>
    </w:p>
    <w:p>
      <w:pPr>
        <w:pStyle w:val="ListParagraph"/>
        <w:numPr>
          <w:ilvl w:val="0"/>
          <w:numId w:val="1"/>
        </w:numPr>
        <w:tabs>
          <w:tab w:pos="580" w:val="left" w:leader="none"/>
        </w:tabs>
        <w:spacing w:line="276" w:lineRule="auto" w:before="0" w:after="0"/>
        <w:ind w:left="580" w:right="38" w:hanging="360"/>
        <w:jc w:val="both"/>
        <w:rPr>
          <w:sz w:val="20"/>
        </w:rPr>
      </w:pPr>
      <w:r>
        <w:rPr>
          <w:sz w:val="20"/>
        </w:rPr>
        <w:t>Adjogble KLS, Lourd M, Lafourcade BMN,</w:t>
      </w:r>
      <w:r>
        <w:rPr>
          <w:spacing w:val="1"/>
          <w:sz w:val="20"/>
        </w:rPr>
        <w:t> </w:t>
      </w:r>
      <w:r>
        <w:rPr>
          <w:sz w:val="20"/>
        </w:rPr>
        <w:t>Traor´e Y, Hlomaschi AFS, Amegatse K A,</w:t>
      </w:r>
      <w:r>
        <w:rPr>
          <w:spacing w:val="1"/>
          <w:sz w:val="20"/>
        </w:rPr>
        <w:t> </w:t>
      </w:r>
      <w:r>
        <w:rPr>
          <w:sz w:val="20"/>
        </w:rPr>
        <w:t>Agbenoko K, Sanou O, Sita K, Mueller JE,</w:t>
      </w:r>
      <w:r>
        <w:rPr>
          <w:spacing w:val="1"/>
          <w:sz w:val="20"/>
        </w:rPr>
        <w:t> </w:t>
      </w:r>
      <w:r>
        <w:rPr>
          <w:sz w:val="20"/>
        </w:rPr>
        <w:t>Gessner BD. The epidemiology of</w:t>
      </w:r>
      <w:r>
        <w:rPr>
          <w:spacing w:val="1"/>
          <w:sz w:val="20"/>
        </w:rPr>
        <w:t> </w:t>
      </w:r>
      <w:r>
        <w:rPr>
          <w:i/>
          <w:sz w:val="20"/>
        </w:rPr>
        <w:t>Neisseria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meningitides </w:t>
      </w:r>
      <w:r>
        <w:rPr>
          <w:sz w:val="20"/>
        </w:rPr>
        <w:t>meningitis in Togo during 2003–</w:t>
      </w:r>
      <w:r>
        <w:rPr>
          <w:spacing w:val="1"/>
          <w:sz w:val="20"/>
        </w:rPr>
        <w:t> </w:t>
      </w:r>
      <w:r>
        <w:rPr>
          <w:sz w:val="20"/>
        </w:rPr>
        <w:t>2005.</w:t>
      </w:r>
      <w:r>
        <w:rPr>
          <w:spacing w:val="-3"/>
          <w:sz w:val="20"/>
        </w:rPr>
        <w:t> </w:t>
      </w:r>
      <w:r>
        <w:rPr>
          <w:i/>
          <w:sz w:val="20"/>
        </w:rPr>
        <w:t>Vaccine, </w:t>
      </w:r>
      <w:r>
        <w:rPr>
          <w:sz w:val="20"/>
        </w:rPr>
        <w:t>25S,</w:t>
      </w:r>
      <w:r>
        <w:rPr>
          <w:spacing w:val="-2"/>
          <w:sz w:val="20"/>
        </w:rPr>
        <w:t> </w:t>
      </w:r>
      <w:r>
        <w:rPr>
          <w:sz w:val="20"/>
        </w:rPr>
        <w:t>2007, A47–A52.</w:t>
      </w:r>
    </w:p>
    <w:p>
      <w:pPr>
        <w:pStyle w:val="ListParagraph"/>
        <w:numPr>
          <w:ilvl w:val="0"/>
          <w:numId w:val="1"/>
        </w:numPr>
        <w:tabs>
          <w:tab w:pos="580" w:val="left" w:leader="none"/>
        </w:tabs>
        <w:spacing w:line="276" w:lineRule="auto" w:before="0" w:after="0"/>
        <w:ind w:left="580" w:right="40" w:hanging="360"/>
        <w:jc w:val="both"/>
        <w:rPr>
          <w:sz w:val="20"/>
        </w:rPr>
      </w:pPr>
      <w:r>
        <w:rPr>
          <w:sz w:val="20"/>
        </w:rPr>
        <w:t>Olson DA, Hoeprich PD. Analysis of Bacterial</w:t>
      </w:r>
      <w:r>
        <w:rPr>
          <w:spacing w:val="-47"/>
          <w:sz w:val="20"/>
        </w:rPr>
        <w:t> </w:t>
      </w:r>
      <w:r>
        <w:rPr>
          <w:sz w:val="20"/>
        </w:rPr>
        <w:t>Isolates from Cerebrospinal Fluid. </w:t>
      </w:r>
      <w:r>
        <w:rPr>
          <w:i/>
          <w:sz w:val="20"/>
        </w:rPr>
        <w:t>Journal of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Clinical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Microbiology</w:t>
      </w:r>
      <w:r>
        <w:rPr>
          <w:sz w:val="20"/>
        </w:rPr>
        <w:t>,</w:t>
      </w:r>
      <w:r>
        <w:rPr>
          <w:spacing w:val="-1"/>
          <w:sz w:val="20"/>
        </w:rPr>
        <w:t> </w:t>
      </w:r>
      <w:r>
        <w:rPr>
          <w:sz w:val="20"/>
        </w:rPr>
        <w:t>19 (2),</w:t>
      </w:r>
      <w:r>
        <w:rPr>
          <w:spacing w:val="-4"/>
          <w:sz w:val="20"/>
        </w:rPr>
        <w:t> </w:t>
      </w:r>
      <w:r>
        <w:rPr>
          <w:sz w:val="20"/>
        </w:rPr>
        <w:t>1984, 144-146.</w:t>
      </w:r>
    </w:p>
    <w:p>
      <w:pPr>
        <w:pStyle w:val="ListParagraph"/>
        <w:numPr>
          <w:ilvl w:val="0"/>
          <w:numId w:val="1"/>
        </w:numPr>
        <w:tabs>
          <w:tab w:pos="580" w:val="left" w:leader="none"/>
        </w:tabs>
        <w:spacing w:line="276" w:lineRule="auto" w:before="0" w:after="0"/>
        <w:ind w:left="580" w:right="38" w:hanging="360"/>
        <w:jc w:val="both"/>
        <w:rPr>
          <w:sz w:val="20"/>
        </w:rPr>
      </w:pPr>
      <w:r>
        <w:rPr>
          <w:sz w:val="20"/>
        </w:rPr>
        <w:t>Enting RH, Jaard LS, van de Beek D, Hensen</w:t>
      </w:r>
      <w:r>
        <w:rPr>
          <w:spacing w:val="1"/>
          <w:sz w:val="20"/>
        </w:rPr>
        <w:t> </w:t>
      </w:r>
      <w:r>
        <w:rPr>
          <w:sz w:val="20"/>
        </w:rPr>
        <w:t>EF,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Gans</w:t>
      </w:r>
      <w:r>
        <w:rPr>
          <w:spacing w:val="1"/>
          <w:sz w:val="20"/>
        </w:rPr>
        <w:t> </w:t>
      </w:r>
      <w:r>
        <w:rPr>
          <w:sz w:val="20"/>
        </w:rPr>
        <w:t>J,</w:t>
      </w:r>
      <w:r>
        <w:rPr>
          <w:spacing w:val="1"/>
          <w:sz w:val="20"/>
        </w:rPr>
        <w:t> </w:t>
      </w:r>
      <w:r>
        <w:rPr>
          <w:sz w:val="20"/>
        </w:rPr>
        <w:t>Dankert</w:t>
      </w:r>
      <w:r>
        <w:rPr>
          <w:spacing w:val="1"/>
          <w:sz w:val="20"/>
        </w:rPr>
        <w:t> </w:t>
      </w:r>
      <w:r>
        <w:rPr>
          <w:sz w:val="20"/>
        </w:rPr>
        <w:t>J.</w:t>
      </w:r>
      <w:r>
        <w:rPr>
          <w:spacing w:val="1"/>
          <w:sz w:val="20"/>
        </w:rPr>
        <w:t> </w:t>
      </w:r>
      <w:r>
        <w:rPr>
          <w:sz w:val="20"/>
        </w:rPr>
        <w:t>Antimicrobial</w:t>
      </w:r>
      <w:r>
        <w:rPr>
          <w:spacing w:val="1"/>
          <w:sz w:val="20"/>
        </w:rPr>
        <w:t> </w:t>
      </w:r>
      <w:r>
        <w:rPr>
          <w:sz w:val="20"/>
        </w:rPr>
        <w:t>susceptibility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i/>
          <w:sz w:val="20"/>
        </w:rPr>
        <w:t>Haemophilus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influenzae,</w:t>
      </w:r>
      <w:r>
        <w:rPr>
          <w:i/>
          <w:spacing w:val="-47"/>
          <w:sz w:val="20"/>
        </w:rPr>
        <w:t> </w:t>
      </w:r>
      <w:r>
        <w:rPr>
          <w:i/>
          <w:sz w:val="20"/>
        </w:rPr>
        <w:t>Niesseria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meningitidis</w:t>
      </w:r>
      <w:r>
        <w:rPr>
          <w:i/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i/>
          <w:sz w:val="20"/>
        </w:rPr>
        <w:t>Streptococcus</w:t>
      </w:r>
      <w:r>
        <w:rPr>
          <w:i/>
          <w:spacing w:val="-47"/>
          <w:sz w:val="20"/>
        </w:rPr>
        <w:t> </w:t>
      </w:r>
      <w:r>
        <w:rPr>
          <w:i/>
          <w:sz w:val="20"/>
        </w:rPr>
        <w:t>pneuminaie</w:t>
      </w:r>
      <w:r>
        <w:rPr>
          <w:i/>
          <w:spacing w:val="38"/>
          <w:sz w:val="20"/>
        </w:rPr>
        <w:t> </w:t>
      </w:r>
      <w:r>
        <w:rPr>
          <w:sz w:val="20"/>
        </w:rPr>
        <w:t>in</w:t>
      </w:r>
      <w:r>
        <w:rPr>
          <w:spacing w:val="36"/>
          <w:sz w:val="20"/>
        </w:rPr>
        <w:t> </w:t>
      </w:r>
      <w:r>
        <w:rPr>
          <w:sz w:val="20"/>
        </w:rPr>
        <w:t>the</w:t>
      </w:r>
      <w:r>
        <w:rPr>
          <w:spacing w:val="38"/>
          <w:sz w:val="20"/>
        </w:rPr>
        <w:t> </w:t>
      </w:r>
      <w:r>
        <w:rPr>
          <w:sz w:val="20"/>
        </w:rPr>
        <w:t>Netherlands,</w:t>
      </w:r>
      <w:r>
        <w:rPr>
          <w:spacing w:val="38"/>
          <w:sz w:val="20"/>
        </w:rPr>
        <w:t> </w:t>
      </w:r>
      <w:r>
        <w:rPr>
          <w:sz w:val="20"/>
        </w:rPr>
        <w:t>1993</w:t>
      </w:r>
      <w:r>
        <w:rPr>
          <w:spacing w:val="41"/>
          <w:sz w:val="20"/>
        </w:rPr>
        <w:t> </w:t>
      </w:r>
      <w:r>
        <w:rPr>
          <w:sz w:val="20"/>
        </w:rPr>
        <w:t>–</w:t>
      </w:r>
      <w:r>
        <w:rPr>
          <w:spacing w:val="37"/>
          <w:sz w:val="20"/>
        </w:rPr>
        <w:t> </w:t>
      </w:r>
      <w:r>
        <w:rPr>
          <w:sz w:val="20"/>
        </w:rPr>
        <w:t>1994</w:t>
      </w:r>
    </w:p>
    <w:p>
      <w:pPr>
        <w:spacing w:line="276" w:lineRule="auto" w:before="80"/>
        <w:ind w:left="580" w:right="218" w:firstLine="0"/>
        <w:jc w:val="both"/>
        <w:rPr>
          <w:sz w:val="20"/>
        </w:rPr>
      </w:pPr>
      <w:r>
        <w:rPr/>
        <w:br w:type="column"/>
      </w:r>
      <w:r>
        <w:rPr>
          <w:i/>
          <w:sz w:val="20"/>
        </w:rPr>
        <w:t>Journal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antimicrobial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chemotherapy,</w:t>
      </w:r>
      <w:r>
        <w:rPr>
          <w:i/>
          <w:spacing w:val="1"/>
          <w:sz w:val="20"/>
        </w:rPr>
        <w:t> </w:t>
      </w:r>
      <w:r>
        <w:rPr>
          <w:sz w:val="20"/>
        </w:rPr>
        <w:t>38,</w:t>
      </w:r>
      <w:r>
        <w:rPr>
          <w:spacing w:val="1"/>
          <w:sz w:val="20"/>
        </w:rPr>
        <w:t> </w:t>
      </w:r>
      <w:r>
        <w:rPr>
          <w:sz w:val="20"/>
        </w:rPr>
        <w:t>1996,</w:t>
      </w:r>
      <w:r>
        <w:rPr>
          <w:spacing w:val="-3"/>
          <w:sz w:val="20"/>
        </w:rPr>
        <w:t> </w:t>
      </w:r>
      <w:r>
        <w:rPr>
          <w:sz w:val="20"/>
        </w:rPr>
        <w:t>777</w:t>
      </w:r>
      <w:r>
        <w:rPr>
          <w:spacing w:val="1"/>
          <w:sz w:val="20"/>
        </w:rPr>
        <w:t> </w:t>
      </w:r>
      <w:r>
        <w:rPr>
          <w:sz w:val="20"/>
        </w:rPr>
        <w:t>-786.</w:t>
      </w:r>
    </w:p>
    <w:p>
      <w:pPr>
        <w:pStyle w:val="ListParagraph"/>
        <w:numPr>
          <w:ilvl w:val="0"/>
          <w:numId w:val="1"/>
        </w:numPr>
        <w:tabs>
          <w:tab w:pos="580" w:val="left" w:leader="none"/>
        </w:tabs>
        <w:spacing w:line="276" w:lineRule="auto" w:before="0" w:after="0"/>
        <w:ind w:left="580" w:right="218" w:hanging="360"/>
        <w:jc w:val="both"/>
        <w:rPr>
          <w:sz w:val="20"/>
        </w:rPr>
      </w:pPr>
      <w:r>
        <w:rPr>
          <w:sz w:val="20"/>
        </w:rPr>
        <w:t>Sonavane</w:t>
      </w:r>
      <w:r>
        <w:rPr>
          <w:spacing w:val="1"/>
          <w:sz w:val="20"/>
        </w:rPr>
        <w:t> </w:t>
      </w:r>
      <w:r>
        <w:rPr>
          <w:sz w:val="20"/>
        </w:rPr>
        <w:t>EA,</w:t>
      </w:r>
      <w:r>
        <w:rPr>
          <w:spacing w:val="1"/>
          <w:sz w:val="20"/>
        </w:rPr>
        <w:t> </w:t>
      </w:r>
      <w:r>
        <w:rPr>
          <w:sz w:val="20"/>
        </w:rPr>
        <w:t>Baradkar</w:t>
      </w:r>
      <w:r>
        <w:rPr>
          <w:spacing w:val="1"/>
          <w:sz w:val="20"/>
        </w:rPr>
        <w:t> </w:t>
      </w:r>
      <w:r>
        <w:rPr>
          <w:sz w:val="20"/>
        </w:rPr>
        <w:t>VP,</w:t>
      </w:r>
      <w:r>
        <w:rPr>
          <w:spacing w:val="1"/>
          <w:sz w:val="20"/>
        </w:rPr>
        <w:t> </w:t>
      </w:r>
      <w:r>
        <w:rPr>
          <w:sz w:val="20"/>
        </w:rPr>
        <w:t>Mathur</w:t>
      </w:r>
      <w:r>
        <w:rPr>
          <w:spacing w:val="51"/>
          <w:sz w:val="20"/>
        </w:rPr>
        <w:t> </w:t>
      </w:r>
      <w:r>
        <w:rPr>
          <w:sz w:val="20"/>
        </w:rPr>
        <w:t>M.</w:t>
      </w:r>
      <w:r>
        <w:rPr>
          <w:spacing w:val="1"/>
          <w:sz w:val="20"/>
        </w:rPr>
        <w:t> </w:t>
      </w:r>
      <w:r>
        <w:rPr>
          <w:sz w:val="20"/>
        </w:rPr>
        <w:t>Pattern and antibiotic susceptibility of bacteria</w:t>
      </w:r>
      <w:r>
        <w:rPr>
          <w:spacing w:val="1"/>
          <w:sz w:val="20"/>
        </w:rPr>
        <w:t> </w:t>
      </w:r>
      <w:r>
        <w:rPr>
          <w:sz w:val="20"/>
        </w:rPr>
        <w:t>isolated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clinically</w:t>
      </w:r>
      <w:r>
        <w:rPr>
          <w:spacing w:val="1"/>
          <w:sz w:val="20"/>
        </w:rPr>
        <w:t> </w:t>
      </w:r>
      <w:r>
        <w:rPr>
          <w:sz w:val="20"/>
        </w:rPr>
        <w:t>suspected</w:t>
      </w:r>
      <w:r>
        <w:rPr>
          <w:spacing w:val="1"/>
          <w:sz w:val="20"/>
        </w:rPr>
        <w:t> </w:t>
      </w:r>
      <w:r>
        <w:rPr>
          <w:sz w:val="20"/>
        </w:rPr>
        <w:t>cases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meningitis in children. </w:t>
      </w:r>
      <w:r>
        <w:rPr>
          <w:i/>
          <w:sz w:val="20"/>
        </w:rPr>
        <w:t>J pediatr Neurosci, </w:t>
      </w:r>
      <w:r>
        <w:rPr>
          <w:sz w:val="20"/>
        </w:rPr>
        <w:t>3,</w:t>
      </w:r>
      <w:r>
        <w:rPr>
          <w:spacing w:val="1"/>
          <w:sz w:val="20"/>
        </w:rPr>
        <w:t> </w:t>
      </w:r>
      <w:r>
        <w:rPr>
          <w:sz w:val="20"/>
        </w:rPr>
        <w:t>2008,</w:t>
      </w:r>
      <w:r>
        <w:rPr>
          <w:spacing w:val="-2"/>
          <w:sz w:val="20"/>
        </w:rPr>
        <w:t> </w:t>
      </w:r>
      <w:r>
        <w:rPr>
          <w:sz w:val="20"/>
        </w:rPr>
        <w:t>131-133.</w:t>
      </w:r>
    </w:p>
    <w:p>
      <w:pPr>
        <w:pStyle w:val="ListParagraph"/>
        <w:numPr>
          <w:ilvl w:val="0"/>
          <w:numId w:val="1"/>
        </w:numPr>
        <w:tabs>
          <w:tab w:pos="580" w:val="left" w:leader="none"/>
          <w:tab w:pos="1744" w:val="left" w:leader="none"/>
          <w:tab w:pos="3519" w:val="left" w:leader="none"/>
        </w:tabs>
        <w:spacing w:line="276" w:lineRule="auto" w:before="0" w:after="0"/>
        <w:ind w:left="580" w:right="219" w:hanging="360"/>
        <w:jc w:val="both"/>
        <w:rPr>
          <w:sz w:val="20"/>
        </w:rPr>
      </w:pPr>
      <w:r>
        <w:rPr>
          <w:sz w:val="20"/>
        </w:rPr>
        <w:t>Gupta</w:t>
      </w:r>
      <w:r>
        <w:rPr>
          <w:spacing w:val="1"/>
          <w:sz w:val="20"/>
        </w:rPr>
        <w:t> </w:t>
      </w:r>
      <w:r>
        <w:rPr>
          <w:sz w:val="20"/>
        </w:rPr>
        <w:t>VMS,</w:t>
      </w:r>
      <w:r>
        <w:rPr>
          <w:spacing w:val="1"/>
          <w:sz w:val="20"/>
        </w:rPr>
        <w:t> </w:t>
      </w:r>
      <w:r>
        <w:rPr>
          <w:sz w:val="20"/>
        </w:rPr>
        <w:t>Bhalla</w:t>
      </w:r>
      <w:r>
        <w:rPr>
          <w:spacing w:val="1"/>
          <w:sz w:val="20"/>
        </w:rPr>
        <w:t> </w:t>
      </w:r>
      <w:r>
        <w:rPr>
          <w:sz w:val="20"/>
        </w:rPr>
        <w:t>P.</w:t>
      </w:r>
      <w:r>
        <w:rPr>
          <w:spacing w:val="51"/>
          <w:sz w:val="20"/>
        </w:rPr>
        <w:t> </w:t>
      </w:r>
      <w:r>
        <w:rPr>
          <w:sz w:val="20"/>
        </w:rPr>
        <w:t>Meningococcal</w:t>
      </w:r>
      <w:r>
        <w:rPr>
          <w:spacing w:val="1"/>
          <w:sz w:val="20"/>
        </w:rPr>
        <w:t> </w:t>
      </w:r>
      <w:r>
        <w:rPr>
          <w:sz w:val="20"/>
        </w:rPr>
        <w:t>Disease: History, Epidemiology, Pathogenesis,</w:t>
      </w:r>
      <w:r>
        <w:rPr>
          <w:spacing w:val="-47"/>
          <w:sz w:val="20"/>
        </w:rPr>
        <w:t> </w:t>
      </w:r>
      <w:r>
        <w:rPr>
          <w:sz w:val="20"/>
        </w:rPr>
        <w:t>Clinical</w:t>
        <w:tab/>
        <w:t>Manifestations,</w:t>
        <w:tab/>
        <w:t>Diagnosis,</w:t>
      </w:r>
      <w:r>
        <w:rPr>
          <w:spacing w:val="-48"/>
          <w:sz w:val="20"/>
        </w:rPr>
        <w:t> </w:t>
      </w:r>
      <w:r>
        <w:rPr>
          <w:sz w:val="20"/>
        </w:rPr>
        <w:t>Antimicrobial</w:t>
      </w:r>
      <w:r>
        <w:rPr>
          <w:spacing w:val="1"/>
          <w:sz w:val="20"/>
        </w:rPr>
        <w:t> </w:t>
      </w:r>
      <w:r>
        <w:rPr>
          <w:sz w:val="20"/>
        </w:rPr>
        <w:t>Susceptibility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Prevention.</w:t>
      </w:r>
      <w:r>
        <w:rPr>
          <w:spacing w:val="1"/>
          <w:sz w:val="20"/>
        </w:rPr>
        <w:t> </w:t>
      </w:r>
      <w:r>
        <w:rPr>
          <w:i/>
          <w:sz w:val="20"/>
        </w:rPr>
        <w:t>Indian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Journal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of Medical Microbiology,</w:t>
      </w:r>
      <w:r>
        <w:rPr>
          <w:i/>
          <w:spacing w:val="1"/>
          <w:sz w:val="20"/>
        </w:rPr>
        <w:t> </w:t>
      </w:r>
      <w:r>
        <w:rPr>
          <w:sz w:val="20"/>
        </w:rPr>
        <w:t>24</w:t>
      </w:r>
      <w:r>
        <w:rPr>
          <w:spacing w:val="1"/>
          <w:sz w:val="20"/>
        </w:rPr>
        <w:t> </w:t>
      </w:r>
      <w:r>
        <w:rPr>
          <w:sz w:val="20"/>
        </w:rPr>
        <w:t>(1), 2006,</w:t>
      </w:r>
      <w:r>
        <w:rPr>
          <w:spacing w:val="1"/>
          <w:sz w:val="20"/>
        </w:rPr>
        <w:t> </w:t>
      </w:r>
      <w:r>
        <w:rPr>
          <w:sz w:val="20"/>
        </w:rPr>
        <w:t>7-19.</w:t>
      </w:r>
    </w:p>
    <w:p>
      <w:pPr>
        <w:pStyle w:val="ListParagraph"/>
        <w:numPr>
          <w:ilvl w:val="0"/>
          <w:numId w:val="1"/>
        </w:numPr>
        <w:tabs>
          <w:tab w:pos="580" w:val="left" w:leader="none"/>
        </w:tabs>
        <w:spacing w:line="276" w:lineRule="auto" w:before="1" w:after="0"/>
        <w:ind w:left="580" w:right="221" w:hanging="360"/>
        <w:jc w:val="both"/>
        <w:rPr>
          <w:sz w:val="20"/>
        </w:rPr>
      </w:pPr>
      <w:r>
        <w:rPr>
          <w:sz w:val="20"/>
        </w:rPr>
        <w:t>Shaban</w:t>
      </w:r>
      <w:r>
        <w:rPr>
          <w:spacing w:val="1"/>
          <w:sz w:val="20"/>
        </w:rPr>
        <w:t> </w:t>
      </w:r>
      <w:r>
        <w:rPr>
          <w:sz w:val="20"/>
        </w:rPr>
        <w:t>L,</w:t>
      </w:r>
      <w:r>
        <w:rPr>
          <w:spacing w:val="1"/>
          <w:sz w:val="20"/>
        </w:rPr>
        <w:t> </w:t>
      </w:r>
      <w:r>
        <w:rPr>
          <w:sz w:val="20"/>
        </w:rPr>
        <w:t>Siam</w:t>
      </w:r>
      <w:r>
        <w:rPr>
          <w:spacing w:val="1"/>
          <w:sz w:val="20"/>
        </w:rPr>
        <w:t> </w:t>
      </w:r>
      <w:r>
        <w:rPr>
          <w:sz w:val="20"/>
        </w:rPr>
        <w:t>R.</w:t>
      </w:r>
      <w:r>
        <w:rPr>
          <w:spacing w:val="1"/>
          <w:sz w:val="20"/>
        </w:rPr>
        <w:t> </w:t>
      </w:r>
      <w:r>
        <w:rPr>
          <w:sz w:val="20"/>
        </w:rPr>
        <w:t>Prevalence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-47"/>
          <w:sz w:val="20"/>
        </w:rPr>
        <w:t> </w:t>
      </w:r>
      <w:r>
        <w:rPr>
          <w:sz w:val="20"/>
        </w:rPr>
        <w:t>antimicrobial</w:t>
      </w:r>
      <w:r>
        <w:rPr>
          <w:spacing w:val="1"/>
          <w:sz w:val="20"/>
        </w:rPr>
        <w:t> </w:t>
      </w:r>
      <w:r>
        <w:rPr>
          <w:sz w:val="20"/>
        </w:rPr>
        <w:t>resistance</w:t>
      </w:r>
      <w:r>
        <w:rPr>
          <w:spacing w:val="1"/>
          <w:sz w:val="20"/>
        </w:rPr>
        <w:t> </w:t>
      </w:r>
      <w:r>
        <w:rPr>
          <w:sz w:val="20"/>
        </w:rPr>
        <w:t>pattern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bacterial</w:t>
      </w:r>
      <w:r>
        <w:rPr>
          <w:spacing w:val="1"/>
          <w:sz w:val="20"/>
        </w:rPr>
        <w:t> </w:t>
      </w:r>
      <w:r>
        <w:rPr>
          <w:sz w:val="20"/>
        </w:rPr>
        <w:t>meningitis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Egypt.</w:t>
      </w:r>
      <w:r>
        <w:rPr>
          <w:spacing w:val="1"/>
          <w:sz w:val="20"/>
        </w:rPr>
        <w:t> </w:t>
      </w:r>
      <w:r>
        <w:rPr>
          <w:i/>
          <w:sz w:val="20"/>
        </w:rPr>
        <w:t>Annals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Clinical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Microbiology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Antimicrobials,</w:t>
      </w:r>
      <w:r>
        <w:rPr>
          <w:i/>
          <w:spacing w:val="-1"/>
          <w:sz w:val="20"/>
        </w:rPr>
        <w:t> </w:t>
      </w:r>
      <w:r>
        <w:rPr>
          <w:sz w:val="20"/>
        </w:rPr>
        <w:t>26,</w:t>
      </w:r>
      <w:r>
        <w:rPr>
          <w:spacing w:val="-2"/>
          <w:sz w:val="20"/>
        </w:rPr>
        <w:t> </w:t>
      </w:r>
      <w:r>
        <w:rPr>
          <w:sz w:val="20"/>
        </w:rPr>
        <w:t>2009,</w:t>
      </w:r>
      <w:r>
        <w:rPr>
          <w:spacing w:val="-3"/>
          <w:sz w:val="20"/>
        </w:rPr>
        <w:t> </w:t>
      </w:r>
      <w:r>
        <w:rPr>
          <w:sz w:val="20"/>
        </w:rPr>
        <w:t>8.</w:t>
      </w:r>
    </w:p>
    <w:p>
      <w:pPr>
        <w:pStyle w:val="ListParagraph"/>
        <w:numPr>
          <w:ilvl w:val="0"/>
          <w:numId w:val="1"/>
        </w:numPr>
        <w:tabs>
          <w:tab w:pos="580" w:val="left" w:leader="none"/>
        </w:tabs>
        <w:spacing w:line="276" w:lineRule="auto" w:before="0" w:after="0"/>
        <w:ind w:left="580" w:right="218" w:hanging="360"/>
        <w:jc w:val="both"/>
        <w:rPr>
          <w:sz w:val="20"/>
        </w:rPr>
      </w:pPr>
      <w:r>
        <w:rPr>
          <w:sz w:val="20"/>
        </w:rPr>
        <w:t>Herbert</w:t>
      </w:r>
      <w:r>
        <w:rPr>
          <w:spacing w:val="1"/>
          <w:sz w:val="20"/>
        </w:rPr>
        <w:t> </w:t>
      </w:r>
      <w:r>
        <w:rPr>
          <w:sz w:val="20"/>
        </w:rPr>
        <w:t>G,</w:t>
      </w:r>
      <w:r>
        <w:rPr>
          <w:spacing w:val="1"/>
          <w:sz w:val="20"/>
        </w:rPr>
        <w:t> </w:t>
      </w:r>
      <w:r>
        <w:rPr>
          <w:sz w:val="20"/>
        </w:rPr>
        <w:t>Ndiritu</w:t>
      </w:r>
      <w:r>
        <w:rPr>
          <w:spacing w:val="1"/>
          <w:sz w:val="20"/>
        </w:rPr>
        <w:t> </w:t>
      </w:r>
      <w:r>
        <w:rPr>
          <w:sz w:val="20"/>
        </w:rPr>
        <w:t>M,</w:t>
      </w:r>
      <w:r>
        <w:rPr>
          <w:spacing w:val="1"/>
          <w:sz w:val="20"/>
        </w:rPr>
        <w:t> </w:t>
      </w:r>
      <w:r>
        <w:rPr>
          <w:sz w:val="20"/>
        </w:rPr>
        <w:t>Idro</w:t>
      </w:r>
      <w:r>
        <w:rPr>
          <w:spacing w:val="1"/>
          <w:sz w:val="20"/>
        </w:rPr>
        <w:t> </w:t>
      </w:r>
      <w:r>
        <w:rPr>
          <w:sz w:val="20"/>
        </w:rPr>
        <w:t>R,</w:t>
      </w:r>
      <w:r>
        <w:rPr>
          <w:spacing w:val="1"/>
          <w:sz w:val="20"/>
        </w:rPr>
        <w:t> </w:t>
      </w:r>
      <w:r>
        <w:rPr>
          <w:sz w:val="20"/>
        </w:rPr>
        <w:t>Makani</w:t>
      </w:r>
      <w:r>
        <w:rPr>
          <w:spacing w:val="1"/>
          <w:sz w:val="20"/>
        </w:rPr>
        <w:t> </w:t>
      </w:r>
      <w:r>
        <w:rPr>
          <w:sz w:val="20"/>
        </w:rPr>
        <w:t>JB,</w:t>
      </w:r>
      <w:r>
        <w:rPr>
          <w:spacing w:val="1"/>
          <w:sz w:val="20"/>
        </w:rPr>
        <w:t> </w:t>
      </w:r>
      <w:r>
        <w:rPr>
          <w:sz w:val="20"/>
        </w:rPr>
        <w:t>Kitundu</w:t>
      </w:r>
      <w:r>
        <w:rPr>
          <w:spacing w:val="1"/>
          <w:sz w:val="20"/>
        </w:rPr>
        <w:t> </w:t>
      </w:r>
      <w:r>
        <w:rPr>
          <w:sz w:val="20"/>
        </w:rPr>
        <w:t>J.</w:t>
      </w:r>
      <w:r>
        <w:rPr>
          <w:spacing w:val="1"/>
          <w:sz w:val="20"/>
        </w:rPr>
        <w:t> </w:t>
      </w:r>
      <w:r>
        <w:rPr>
          <w:color w:val="262626"/>
          <w:sz w:val="20"/>
        </w:rPr>
        <w:t>Analysis</w:t>
      </w:r>
      <w:r>
        <w:rPr>
          <w:color w:val="262626"/>
          <w:spacing w:val="1"/>
          <w:sz w:val="20"/>
        </w:rPr>
        <w:t> </w:t>
      </w:r>
      <w:r>
        <w:rPr>
          <w:color w:val="262626"/>
          <w:sz w:val="20"/>
        </w:rPr>
        <w:t>of</w:t>
      </w:r>
      <w:r>
        <w:rPr>
          <w:color w:val="262626"/>
          <w:spacing w:val="1"/>
          <w:sz w:val="20"/>
        </w:rPr>
        <w:t> </w:t>
      </w:r>
      <w:r>
        <w:rPr>
          <w:color w:val="262626"/>
          <w:sz w:val="20"/>
        </w:rPr>
        <w:t>The</w:t>
      </w:r>
      <w:r>
        <w:rPr>
          <w:color w:val="262626"/>
          <w:spacing w:val="1"/>
          <w:sz w:val="20"/>
        </w:rPr>
        <w:t> </w:t>
      </w:r>
      <w:r>
        <w:rPr>
          <w:color w:val="262626"/>
          <w:sz w:val="20"/>
        </w:rPr>
        <w:t>Indications</w:t>
      </w:r>
      <w:r>
        <w:rPr>
          <w:color w:val="262626"/>
          <w:spacing w:val="1"/>
          <w:sz w:val="20"/>
        </w:rPr>
        <w:t> </w:t>
      </w:r>
      <w:r>
        <w:rPr>
          <w:color w:val="262626"/>
          <w:sz w:val="20"/>
        </w:rPr>
        <w:t>and</w:t>
      </w:r>
      <w:r>
        <w:rPr>
          <w:color w:val="262626"/>
          <w:spacing w:val="1"/>
          <w:sz w:val="20"/>
        </w:rPr>
        <w:t> </w:t>
      </w:r>
      <w:r>
        <w:rPr>
          <w:color w:val="262626"/>
          <w:sz w:val="20"/>
        </w:rPr>
        <w:t>Results of Cerebrospinal Fluid Examination in</w:t>
      </w:r>
      <w:r>
        <w:rPr>
          <w:color w:val="262626"/>
          <w:spacing w:val="1"/>
          <w:sz w:val="20"/>
        </w:rPr>
        <w:t> </w:t>
      </w:r>
      <w:r>
        <w:rPr>
          <w:color w:val="262626"/>
          <w:sz w:val="20"/>
        </w:rPr>
        <w:t>Children Admitted to the Paediatric Wards of</w:t>
      </w:r>
      <w:r>
        <w:rPr>
          <w:color w:val="262626"/>
          <w:spacing w:val="1"/>
          <w:sz w:val="20"/>
        </w:rPr>
        <w:t> </w:t>
      </w:r>
      <w:r>
        <w:rPr>
          <w:color w:val="262626"/>
          <w:sz w:val="20"/>
        </w:rPr>
        <w:t>Two</w:t>
      </w:r>
      <w:r>
        <w:rPr>
          <w:color w:val="262626"/>
          <w:spacing w:val="1"/>
          <w:sz w:val="20"/>
        </w:rPr>
        <w:t> </w:t>
      </w:r>
      <w:r>
        <w:rPr>
          <w:color w:val="262626"/>
          <w:sz w:val="20"/>
        </w:rPr>
        <w:t>Hospitals</w:t>
      </w:r>
      <w:r>
        <w:rPr>
          <w:color w:val="262626"/>
          <w:spacing w:val="1"/>
          <w:sz w:val="20"/>
        </w:rPr>
        <w:t> </w:t>
      </w:r>
      <w:r>
        <w:rPr>
          <w:color w:val="262626"/>
          <w:sz w:val="20"/>
        </w:rPr>
        <w:t>in</w:t>
      </w:r>
      <w:r>
        <w:rPr>
          <w:color w:val="262626"/>
          <w:spacing w:val="1"/>
          <w:sz w:val="20"/>
        </w:rPr>
        <w:t> </w:t>
      </w:r>
      <w:r>
        <w:rPr>
          <w:color w:val="262626"/>
          <w:sz w:val="20"/>
        </w:rPr>
        <w:t>East</w:t>
      </w:r>
      <w:r>
        <w:rPr>
          <w:color w:val="262626"/>
          <w:spacing w:val="1"/>
          <w:sz w:val="20"/>
        </w:rPr>
        <w:t> </w:t>
      </w:r>
      <w:r>
        <w:rPr>
          <w:color w:val="262626"/>
          <w:sz w:val="20"/>
        </w:rPr>
        <w:t>Africa.</w:t>
      </w:r>
      <w:r>
        <w:rPr>
          <w:color w:val="262626"/>
          <w:spacing w:val="50"/>
          <w:sz w:val="20"/>
        </w:rPr>
        <w:t> </w:t>
      </w:r>
      <w:r>
        <w:rPr>
          <w:i/>
          <w:sz w:val="20"/>
        </w:rPr>
        <w:t>DMSJ,</w:t>
      </w:r>
      <w:r>
        <w:rPr>
          <w:i/>
          <w:spacing w:val="50"/>
          <w:sz w:val="20"/>
        </w:rPr>
        <w:t> </w:t>
      </w:r>
      <w:r>
        <w:rPr>
          <w:sz w:val="20"/>
        </w:rPr>
        <w:t>14,</w:t>
      </w:r>
      <w:r>
        <w:rPr>
          <w:spacing w:val="1"/>
          <w:sz w:val="20"/>
        </w:rPr>
        <w:t> </w:t>
      </w:r>
      <w:r>
        <w:rPr>
          <w:sz w:val="20"/>
        </w:rPr>
        <w:t>2006,</w:t>
      </w:r>
      <w:r>
        <w:rPr>
          <w:spacing w:val="-2"/>
          <w:sz w:val="20"/>
        </w:rPr>
        <w:t> </w:t>
      </w:r>
      <w:r>
        <w:rPr>
          <w:sz w:val="20"/>
        </w:rPr>
        <w:t>36-42.</w:t>
      </w:r>
    </w:p>
    <w:p>
      <w:pPr>
        <w:pStyle w:val="ListParagraph"/>
        <w:numPr>
          <w:ilvl w:val="0"/>
          <w:numId w:val="1"/>
        </w:numPr>
        <w:tabs>
          <w:tab w:pos="580" w:val="left" w:leader="none"/>
        </w:tabs>
        <w:spacing w:line="276" w:lineRule="auto" w:before="1" w:after="0"/>
        <w:ind w:left="580" w:right="221" w:hanging="360"/>
        <w:jc w:val="both"/>
        <w:rPr>
          <w:sz w:val="20"/>
        </w:rPr>
      </w:pPr>
      <w:r>
        <w:rPr>
          <w:sz w:val="20"/>
        </w:rPr>
        <w:t>Rijal</w:t>
      </w:r>
      <w:r>
        <w:rPr>
          <w:spacing w:val="1"/>
          <w:sz w:val="20"/>
        </w:rPr>
        <w:t> </w:t>
      </w:r>
      <w:r>
        <w:rPr>
          <w:sz w:val="20"/>
        </w:rPr>
        <w:t>B,</w:t>
      </w:r>
      <w:r>
        <w:rPr>
          <w:spacing w:val="1"/>
          <w:sz w:val="20"/>
        </w:rPr>
        <w:t> </w:t>
      </w:r>
      <w:r>
        <w:rPr>
          <w:sz w:val="20"/>
        </w:rPr>
        <w:t>Tandukar</w:t>
      </w:r>
      <w:r>
        <w:rPr>
          <w:spacing w:val="1"/>
          <w:sz w:val="20"/>
        </w:rPr>
        <w:t> </w:t>
      </w:r>
      <w:r>
        <w:rPr>
          <w:sz w:val="20"/>
        </w:rPr>
        <w:t>S,</w:t>
      </w:r>
      <w:r>
        <w:rPr>
          <w:spacing w:val="1"/>
          <w:sz w:val="20"/>
        </w:rPr>
        <w:t> </w:t>
      </w:r>
      <w:r>
        <w:rPr>
          <w:sz w:val="20"/>
        </w:rPr>
        <w:t>Adhikari</w:t>
      </w:r>
      <w:r>
        <w:rPr>
          <w:spacing w:val="50"/>
          <w:sz w:val="20"/>
        </w:rPr>
        <w:t> </w:t>
      </w:r>
      <w:r>
        <w:rPr>
          <w:sz w:val="20"/>
        </w:rPr>
        <w:t>R,</w:t>
      </w:r>
      <w:r>
        <w:rPr>
          <w:spacing w:val="50"/>
          <w:sz w:val="20"/>
        </w:rPr>
        <w:t> </w:t>
      </w:r>
      <w:r>
        <w:rPr>
          <w:sz w:val="20"/>
        </w:rPr>
        <w:t>Tuladhar</w:t>
      </w:r>
      <w:r>
        <w:rPr>
          <w:spacing w:val="1"/>
          <w:sz w:val="20"/>
        </w:rPr>
        <w:t> </w:t>
      </w:r>
      <w:r>
        <w:rPr>
          <w:sz w:val="20"/>
        </w:rPr>
        <w:t>NR,</w:t>
      </w:r>
      <w:r>
        <w:rPr>
          <w:spacing w:val="1"/>
          <w:sz w:val="20"/>
        </w:rPr>
        <w:t> </w:t>
      </w:r>
      <w:r>
        <w:rPr>
          <w:sz w:val="20"/>
        </w:rPr>
        <w:t>Sharma</w:t>
      </w:r>
      <w:r>
        <w:rPr>
          <w:spacing w:val="1"/>
          <w:sz w:val="20"/>
        </w:rPr>
        <w:t> </w:t>
      </w:r>
      <w:r>
        <w:rPr>
          <w:sz w:val="20"/>
        </w:rPr>
        <w:t>PR,</w:t>
      </w:r>
      <w:r>
        <w:rPr>
          <w:spacing w:val="1"/>
          <w:sz w:val="20"/>
        </w:rPr>
        <w:t> </w:t>
      </w:r>
      <w:r>
        <w:rPr>
          <w:sz w:val="20"/>
        </w:rPr>
        <w:t>Pokharel</w:t>
      </w:r>
      <w:r>
        <w:rPr>
          <w:spacing w:val="1"/>
          <w:sz w:val="20"/>
        </w:rPr>
        <w:t> </w:t>
      </w:r>
      <w:r>
        <w:rPr>
          <w:sz w:val="20"/>
        </w:rPr>
        <w:t>BM,</w:t>
      </w:r>
      <w:r>
        <w:rPr>
          <w:spacing w:val="50"/>
          <w:sz w:val="20"/>
        </w:rPr>
        <w:t> </w:t>
      </w:r>
      <w:r>
        <w:rPr>
          <w:sz w:val="20"/>
        </w:rPr>
        <w:t>Gami</w:t>
      </w:r>
      <w:r>
        <w:rPr>
          <w:spacing w:val="50"/>
          <w:sz w:val="20"/>
        </w:rPr>
        <w:t> </w:t>
      </w:r>
      <w:r>
        <w:rPr>
          <w:sz w:val="20"/>
        </w:rPr>
        <w:t>FC,</w:t>
      </w:r>
      <w:r>
        <w:rPr>
          <w:spacing w:val="1"/>
          <w:sz w:val="20"/>
        </w:rPr>
        <w:t> </w:t>
      </w:r>
      <w:r>
        <w:rPr>
          <w:sz w:val="20"/>
        </w:rPr>
        <w:t>Shah A, Sharma A, Gauchan P, Sherchand JB,</w:t>
      </w:r>
      <w:r>
        <w:rPr>
          <w:spacing w:val="1"/>
          <w:sz w:val="20"/>
        </w:rPr>
        <w:t> </w:t>
      </w:r>
      <w:r>
        <w:rPr>
          <w:sz w:val="20"/>
        </w:rPr>
        <w:t>Burlakoti T, Upreti HC, Lalitha MK, Thomas</w:t>
      </w:r>
      <w:r>
        <w:rPr>
          <w:spacing w:val="1"/>
          <w:sz w:val="20"/>
        </w:rPr>
        <w:t> </w:t>
      </w:r>
      <w:r>
        <w:rPr>
          <w:sz w:val="20"/>
        </w:rPr>
        <w:t>K,</w:t>
      </w:r>
      <w:r>
        <w:rPr>
          <w:spacing w:val="1"/>
          <w:sz w:val="20"/>
        </w:rPr>
        <w:t> </w:t>
      </w:r>
      <w:r>
        <w:rPr>
          <w:sz w:val="20"/>
        </w:rPr>
        <w:t>Steinhoff</w:t>
      </w:r>
      <w:r>
        <w:rPr>
          <w:spacing w:val="1"/>
          <w:sz w:val="20"/>
        </w:rPr>
        <w:t> </w:t>
      </w:r>
      <w:r>
        <w:rPr>
          <w:sz w:val="20"/>
        </w:rPr>
        <w:t>M.</w:t>
      </w:r>
      <w:r>
        <w:rPr>
          <w:spacing w:val="1"/>
          <w:sz w:val="20"/>
        </w:rPr>
        <w:t> </w:t>
      </w:r>
      <w:r>
        <w:rPr>
          <w:sz w:val="20"/>
        </w:rPr>
        <w:t>Antimicrobial</w:t>
      </w:r>
      <w:r>
        <w:rPr>
          <w:spacing w:val="1"/>
          <w:sz w:val="20"/>
        </w:rPr>
        <w:t> </w:t>
      </w:r>
      <w:r>
        <w:rPr>
          <w:sz w:val="20"/>
        </w:rPr>
        <w:t>susceptibility</w:t>
      </w:r>
      <w:r>
        <w:rPr>
          <w:spacing w:val="-47"/>
          <w:sz w:val="20"/>
        </w:rPr>
        <w:t> </w:t>
      </w:r>
      <w:r>
        <w:rPr>
          <w:sz w:val="20"/>
        </w:rPr>
        <w:t>pattern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serotyping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i/>
          <w:sz w:val="20"/>
        </w:rPr>
        <w:t>Streptococcus</w:t>
      </w:r>
      <w:r>
        <w:rPr>
          <w:i/>
          <w:spacing w:val="-47"/>
          <w:sz w:val="20"/>
        </w:rPr>
        <w:t> </w:t>
      </w:r>
      <w:r>
        <w:rPr>
          <w:i/>
          <w:sz w:val="20"/>
        </w:rPr>
        <w:t>pneumoniae</w:t>
      </w:r>
      <w:r>
        <w:rPr>
          <w:i/>
          <w:spacing w:val="1"/>
          <w:sz w:val="20"/>
        </w:rPr>
        <w:t> </w:t>
      </w:r>
      <w:r>
        <w:rPr>
          <w:sz w:val="20"/>
        </w:rPr>
        <w:t>isolated</w:t>
      </w:r>
      <w:r>
        <w:rPr>
          <w:spacing w:val="1"/>
          <w:sz w:val="20"/>
        </w:rPr>
        <w:t> </w:t>
      </w:r>
      <w:r>
        <w:rPr>
          <w:sz w:val="20"/>
        </w:rPr>
        <w:t>from</w:t>
      </w:r>
      <w:r>
        <w:rPr>
          <w:spacing w:val="1"/>
          <w:sz w:val="20"/>
        </w:rPr>
        <w:t> </w:t>
      </w:r>
      <w:r>
        <w:rPr>
          <w:sz w:val="20"/>
        </w:rPr>
        <w:t>Kanti</w:t>
      </w:r>
      <w:r>
        <w:rPr>
          <w:spacing w:val="1"/>
          <w:sz w:val="20"/>
        </w:rPr>
        <w:t> </w:t>
      </w:r>
      <w:r>
        <w:rPr>
          <w:sz w:val="20"/>
        </w:rPr>
        <w:t>Children</w:t>
      </w:r>
      <w:r>
        <w:rPr>
          <w:spacing w:val="1"/>
          <w:sz w:val="20"/>
        </w:rPr>
        <w:t> </w:t>
      </w:r>
      <w:r>
        <w:rPr>
          <w:sz w:val="20"/>
        </w:rPr>
        <w:t>Hospital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Nepal.</w:t>
      </w:r>
      <w:r>
        <w:rPr>
          <w:spacing w:val="1"/>
          <w:sz w:val="20"/>
        </w:rPr>
        <w:t> </w:t>
      </w:r>
      <w:r>
        <w:rPr>
          <w:i/>
          <w:sz w:val="20"/>
        </w:rPr>
        <w:t>Kathmandu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University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Medical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Journal</w:t>
      </w:r>
      <w:r>
        <w:rPr>
          <w:sz w:val="20"/>
        </w:rPr>
        <w:t>,</w:t>
      </w:r>
      <w:r>
        <w:rPr>
          <w:spacing w:val="-3"/>
          <w:sz w:val="20"/>
        </w:rPr>
        <w:t> </w:t>
      </w:r>
      <w:r>
        <w:rPr>
          <w:sz w:val="20"/>
        </w:rPr>
        <w:t>8 (2),</w:t>
      </w:r>
      <w:r>
        <w:rPr>
          <w:spacing w:val="1"/>
          <w:sz w:val="20"/>
        </w:rPr>
        <w:t> </w:t>
      </w:r>
      <w:r>
        <w:rPr>
          <w:sz w:val="20"/>
        </w:rPr>
        <w:t>(2010), 164-168.</w:t>
      </w:r>
    </w:p>
    <w:p>
      <w:pPr>
        <w:pStyle w:val="ListParagraph"/>
        <w:numPr>
          <w:ilvl w:val="0"/>
          <w:numId w:val="1"/>
        </w:numPr>
        <w:tabs>
          <w:tab w:pos="580" w:val="left" w:leader="none"/>
        </w:tabs>
        <w:spacing w:line="276" w:lineRule="auto" w:before="0" w:after="0"/>
        <w:ind w:left="580" w:right="218" w:hanging="360"/>
        <w:jc w:val="both"/>
        <w:rPr>
          <w:color w:val="231F1F"/>
          <w:sz w:val="20"/>
        </w:rPr>
      </w:pPr>
      <w:r>
        <w:rPr>
          <w:color w:val="231F1F"/>
          <w:sz w:val="20"/>
        </w:rPr>
        <w:t>Youssef FG, el-Sakka H,</w:t>
      </w:r>
      <w:r>
        <w:rPr>
          <w:color w:val="231F1F"/>
          <w:spacing w:val="1"/>
          <w:sz w:val="20"/>
        </w:rPr>
        <w:t> </w:t>
      </w:r>
      <w:r>
        <w:rPr>
          <w:color w:val="231F1F"/>
          <w:sz w:val="20"/>
        </w:rPr>
        <w:t>Azab A, Eloun S,</w:t>
      </w:r>
      <w:r>
        <w:rPr>
          <w:color w:val="231F1F"/>
          <w:spacing w:val="1"/>
          <w:sz w:val="20"/>
        </w:rPr>
        <w:t> </w:t>
      </w:r>
      <w:r>
        <w:rPr>
          <w:color w:val="231F1F"/>
          <w:sz w:val="20"/>
        </w:rPr>
        <w:t>Chapman GD,</w:t>
      </w:r>
      <w:r>
        <w:rPr>
          <w:color w:val="231F1F"/>
          <w:spacing w:val="1"/>
          <w:sz w:val="20"/>
        </w:rPr>
        <w:t> </w:t>
      </w:r>
      <w:r>
        <w:rPr>
          <w:color w:val="231F1F"/>
          <w:sz w:val="20"/>
        </w:rPr>
        <w:t>Ismail T, Mansour H, Hallaj Z,</w:t>
      </w:r>
      <w:r>
        <w:rPr>
          <w:color w:val="231F1F"/>
          <w:spacing w:val="1"/>
          <w:sz w:val="20"/>
        </w:rPr>
        <w:t> </w:t>
      </w:r>
      <w:r>
        <w:rPr>
          <w:color w:val="231F1F"/>
          <w:sz w:val="20"/>
        </w:rPr>
        <w:t>Mahoney</w:t>
      </w:r>
      <w:r>
        <w:rPr>
          <w:color w:val="231F1F"/>
          <w:spacing w:val="1"/>
          <w:sz w:val="20"/>
        </w:rPr>
        <w:t> </w:t>
      </w:r>
      <w:r>
        <w:rPr>
          <w:color w:val="231F1F"/>
          <w:sz w:val="20"/>
        </w:rPr>
        <w:t>F.</w:t>
      </w:r>
      <w:r>
        <w:rPr>
          <w:color w:val="231F1F"/>
          <w:spacing w:val="1"/>
          <w:sz w:val="20"/>
        </w:rPr>
        <w:t> </w:t>
      </w:r>
      <w:r>
        <w:rPr>
          <w:color w:val="231F1F"/>
          <w:sz w:val="20"/>
        </w:rPr>
        <w:t>Etiology,</w:t>
      </w:r>
      <w:r>
        <w:rPr>
          <w:color w:val="231F1F"/>
          <w:spacing w:val="1"/>
          <w:sz w:val="20"/>
        </w:rPr>
        <w:t> </w:t>
      </w:r>
      <w:r>
        <w:rPr>
          <w:color w:val="231F1F"/>
          <w:sz w:val="20"/>
        </w:rPr>
        <w:t>Antimicrobial</w:t>
      </w:r>
      <w:r>
        <w:rPr>
          <w:color w:val="231F1F"/>
          <w:spacing w:val="1"/>
          <w:sz w:val="20"/>
        </w:rPr>
        <w:t> </w:t>
      </w:r>
      <w:r>
        <w:rPr>
          <w:color w:val="231F1F"/>
          <w:sz w:val="20"/>
        </w:rPr>
        <w:t>Susceptibility</w:t>
      </w:r>
      <w:r>
        <w:rPr>
          <w:color w:val="231F1F"/>
          <w:spacing w:val="1"/>
          <w:sz w:val="20"/>
        </w:rPr>
        <w:t> </w:t>
      </w:r>
      <w:r>
        <w:rPr>
          <w:color w:val="231F1F"/>
          <w:sz w:val="20"/>
        </w:rPr>
        <w:t>Profiles,</w:t>
      </w:r>
      <w:r>
        <w:rPr>
          <w:color w:val="231F1F"/>
          <w:spacing w:val="1"/>
          <w:sz w:val="20"/>
        </w:rPr>
        <w:t> </w:t>
      </w:r>
      <w:r>
        <w:rPr>
          <w:color w:val="231F1F"/>
          <w:sz w:val="20"/>
        </w:rPr>
        <w:t>and</w:t>
      </w:r>
      <w:r>
        <w:rPr>
          <w:color w:val="231F1F"/>
          <w:spacing w:val="1"/>
          <w:sz w:val="20"/>
        </w:rPr>
        <w:t> </w:t>
      </w:r>
      <w:r>
        <w:rPr>
          <w:color w:val="231F1F"/>
          <w:sz w:val="20"/>
        </w:rPr>
        <w:t>Mortality</w:t>
      </w:r>
      <w:r>
        <w:rPr>
          <w:color w:val="231F1F"/>
          <w:spacing w:val="1"/>
          <w:sz w:val="20"/>
        </w:rPr>
        <w:t> </w:t>
      </w:r>
      <w:r>
        <w:rPr>
          <w:color w:val="231F1F"/>
          <w:sz w:val="20"/>
        </w:rPr>
        <w:t>Associated</w:t>
      </w:r>
      <w:r>
        <w:rPr>
          <w:color w:val="231F1F"/>
          <w:spacing w:val="1"/>
          <w:sz w:val="20"/>
        </w:rPr>
        <w:t> </w:t>
      </w:r>
      <w:r>
        <w:rPr>
          <w:color w:val="231F1F"/>
          <w:sz w:val="20"/>
        </w:rPr>
        <w:t>with</w:t>
      </w:r>
      <w:r>
        <w:rPr>
          <w:color w:val="231F1F"/>
          <w:spacing w:val="1"/>
          <w:sz w:val="20"/>
        </w:rPr>
        <w:t> </w:t>
      </w:r>
      <w:r>
        <w:rPr>
          <w:color w:val="231F1F"/>
          <w:sz w:val="20"/>
        </w:rPr>
        <w:t>Bacterial</w:t>
      </w:r>
      <w:r>
        <w:rPr>
          <w:color w:val="231F1F"/>
          <w:spacing w:val="1"/>
          <w:sz w:val="20"/>
        </w:rPr>
        <w:t> </w:t>
      </w:r>
      <w:r>
        <w:rPr>
          <w:color w:val="231F1F"/>
          <w:sz w:val="20"/>
        </w:rPr>
        <w:t>Meningitis</w:t>
      </w:r>
      <w:r>
        <w:rPr>
          <w:color w:val="231F1F"/>
          <w:spacing w:val="1"/>
          <w:sz w:val="20"/>
        </w:rPr>
        <w:t> </w:t>
      </w:r>
      <w:r>
        <w:rPr>
          <w:color w:val="231F1F"/>
          <w:sz w:val="20"/>
        </w:rPr>
        <w:t>among</w:t>
      </w:r>
      <w:r>
        <w:rPr>
          <w:color w:val="231F1F"/>
          <w:spacing w:val="-47"/>
          <w:sz w:val="20"/>
        </w:rPr>
        <w:t> </w:t>
      </w:r>
      <w:r>
        <w:rPr>
          <w:color w:val="231F1F"/>
          <w:sz w:val="20"/>
        </w:rPr>
        <w:t>Children in Egypt. </w:t>
      </w:r>
      <w:r>
        <w:rPr>
          <w:i/>
          <w:color w:val="231F1F"/>
          <w:sz w:val="20"/>
        </w:rPr>
        <w:t>Ann Epidemiol </w:t>
      </w:r>
      <w:r>
        <w:rPr>
          <w:color w:val="231F1F"/>
          <w:sz w:val="20"/>
        </w:rPr>
        <w:t>14, 2004,</w:t>
      </w:r>
      <w:r>
        <w:rPr>
          <w:color w:val="231F1F"/>
          <w:spacing w:val="1"/>
          <w:sz w:val="20"/>
        </w:rPr>
        <w:t> </w:t>
      </w:r>
      <w:r>
        <w:rPr>
          <w:color w:val="231F1F"/>
          <w:sz w:val="20"/>
        </w:rPr>
        <w:t>44–48.</w:t>
      </w:r>
    </w:p>
    <w:sectPr>
      <w:pgSz w:w="11910" w:h="16840"/>
      <w:pgMar w:header="722" w:footer="748" w:top="1340" w:bottom="940" w:left="1220" w:right="1220"/>
      <w:cols w:num="2" w:equalWidth="0">
        <w:col w:w="4414" w:space="458"/>
        <w:col w:w="459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Palatino Linotype">
    <w:altName w:val="Palatino Linotype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66.359985pt;margin-top:793.524475pt;width:62.65pt;height:13.05pt;mso-position-horizontal-relative:page;mso-position-vertical-relative:page;z-index:-16303616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66.359985pt;margin-top:793.524475pt;width:62.65pt;height:13.05pt;mso-position-horizontal-relative:page;mso-position-vertical-relative:page;z-index:-16303104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08.319977pt;margin-top:35.106628pt;width:18pt;height:15.3pt;mso-position-horizontal-relative:page;mso-position-vertical-relative:page;z-index:-16305152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pt;margin-top:35.106628pt;width:18pt;height:15.3pt;mso-position-horizontal-relative:page;mso-position-vertical-relative:page;z-index:-16304640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60.399994pt;margin-top:49.093105pt;width:274.5pt;height:12.3pt;mso-position-horizontal-relative:page;mso-position-vertical-relative:page;z-index:-16304128" type="#_x0000_t202" filled="false" stroked="false">
          <v:textbox inset="0,0,0,0">
            <w:txbxContent>
              <w:p>
                <w:pPr>
                  <w:spacing w:line="228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Zelalem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Addis</w:t>
                </w:r>
                <w:r>
                  <w:rPr>
                    <w:b/>
                    <w:sz w:val="17"/>
                  </w:rPr>
                  <w:t>. </w:t>
                </w:r>
                <w:r>
                  <w:rPr>
                    <w:rFonts w:ascii="Palatino Linotype" w:hAnsi="Palatino Linotype"/>
                    <w:sz w:val="17"/>
                  </w:rPr>
                  <w:t>et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Int. J.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Pharm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&amp;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Ind.</w:t>
                </w:r>
                <w:r>
                  <w:rPr>
                    <w:rFonts w:ascii="Palatino Linotype" w:hAnsi="Palatino Linotype"/>
                    <w:spacing w:val="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Res.,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Vol.–03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(01)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2013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[41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-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46]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08.319977pt;margin-top:35.106628pt;width:18pt;height:15.3pt;mso-position-horizontal-relative:page;mso-position-vertical-relative:page;z-index:-16302592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60.399994pt;margin-top:49.093105pt;width:274.5pt;height:12.3pt;mso-position-horizontal-relative:page;mso-position-vertical-relative:page;z-index:-16302080" type="#_x0000_t202" filled="false" stroked="false">
          <v:textbox inset="0,0,0,0">
            <w:txbxContent>
              <w:p>
                <w:pPr>
                  <w:spacing w:line="228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Zelalem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Addis</w:t>
                </w:r>
                <w:r>
                  <w:rPr>
                    <w:b/>
                    <w:sz w:val="17"/>
                  </w:rPr>
                  <w:t>. </w:t>
                </w:r>
                <w:r>
                  <w:rPr>
                    <w:rFonts w:ascii="Palatino Linotype" w:hAnsi="Palatino Linotype"/>
                    <w:sz w:val="17"/>
                  </w:rPr>
                  <w:t>et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Int. J.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Pharm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&amp;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Ind.</w:t>
                </w:r>
                <w:r>
                  <w:rPr>
                    <w:rFonts w:ascii="Palatino Linotype" w:hAnsi="Palatino Linotype"/>
                    <w:spacing w:val="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Res.,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Vol.–03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(01)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2013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[41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-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46]</w:t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pt;margin-top:35.106628pt;width:18pt;height:15.3pt;mso-position-horizontal-relative:page;mso-position-vertical-relative:page;z-index:-16301568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160.399994pt;margin-top:49.093105pt;width:274.5pt;height:12.3pt;mso-position-horizontal-relative:page;mso-position-vertical-relative:page;z-index:-16301056" type="#_x0000_t202" filled="false" stroked="false">
          <v:textbox inset="0,0,0,0">
            <w:txbxContent>
              <w:p>
                <w:pPr>
                  <w:spacing w:line="228" w:lineRule="exact" w:before="0"/>
                  <w:ind w:left="20" w:right="0" w:firstLine="0"/>
                  <w:jc w:val="left"/>
                  <w:rPr>
                    <w:rFonts w:ascii="Palatino Linotype" w:hAnsi="Palatino Linotype"/>
                    <w:sz w:val="17"/>
                  </w:rPr>
                </w:pPr>
                <w:r>
                  <w:rPr>
                    <w:rFonts w:ascii="Palatino Linotype" w:hAnsi="Palatino Linotype"/>
                    <w:sz w:val="17"/>
                  </w:rPr>
                  <w:t>Zelalem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Addis</w:t>
                </w:r>
                <w:r>
                  <w:rPr>
                    <w:b/>
                    <w:sz w:val="17"/>
                  </w:rPr>
                  <w:t>. </w:t>
                </w:r>
                <w:r>
                  <w:rPr>
                    <w:rFonts w:ascii="Palatino Linotype" w:hAnsi="Palatino Linotype"/>
                    <w:sz w:val="17"/>
                  </w:rPr>
                  <w:t>et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al.,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Int. J.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Pharm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&amp;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Ind.</w:t>
                </w:r>
                <w:r>
                  <w:rPr>
                    <w:rFonts w:ascii="Palatino Linotype" w:hAnsi="Palatino Linotype"/>
                    <w:spacing w:val="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Res.,</w:t>
                </w:r>
                <w:r>
                  <w:rPr>
                    <w:rFonts w:ascii="Palatino Linotype" w:hAnsi="Palatino Linotype"/>
                    <w:spacing w:val="-3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Vol.–03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(01)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2013</w:t>
                </w:r>
                <w:r>
                  <w:rPr>
                    <w:rFonts w:ascii="Palatino Linotype" w:hAnsi="Palatino Linotype"/>
                    <w:spacing w:val="-4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[41</w:t>
                </w:r>
                <w:r>
                  <w:rPr>
                    <w:rFonts w:ascii="Palatino Linotype" w:hAnsi="Palatino Linotype"/>
                    <w:spacing w:val="-1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-</w:t>
                </w:r>
                <w:r>
                  <w:rPr>
                    <w:rFonts w:ascii="Palatino Linotype" w:hAnsi="Palatino Linotype"/>
                    <w:spacing w:val="-2"/>
                    <w:sz w:val="17"/>
                  </w:rPr>
                  <w:t> </w:t>
                </w:r>
                <w:r>
                  <w:rPr>
                    <w:rFonts w:ascii="Palatino Linotype" w:hAnsi="Palatino Linotype"/>
                    <w:sz w:val="17"/>
                  </w:rPr>
                  <w:t>46]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580" w:hanging="360"/>
        <w:jc w:val="left"/>
      </w:pPr>
      <w:rPr>
        <w:rFonts w:hint="default"/>
        <w:spacing w:val="0"/>
        <w:w w:val="9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76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72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6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-4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-147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-251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0"/>
      <w:ind w:left="60"/>
      <w:outlineLvl w:val="1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220"/>
      <w:outlineLvl w:val="2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220"/>
      <w:jc w:val="both"/>
      <w:outlineLvl w:val="3"/>
    </w:pPr>
    <w:rPr>
      <w:rFonts w:ascii="Times New Roman" w:hAnsi="Times New Roman" w:eastAsia="Times New Roman" w:cs="Times New Roman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296" w:right="230"/>
    </w:pPr>
    <w:rPr>
      <w:rFonts w:ascii="Times New Roman" w:hAnsi="Times New Roman" w:eastAsia="Times New Roman" w:cs="Times New Roman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580" w:right="218" w:hanging="360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ind w:left="107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image" Target="media/image1.jpeg"/><Relationship Id="rId8" Type="http://schemas.openxmlformats.org/officeDocument/2006/relationships/hyperlink" Target="http://www.ijpir.com/" TargetMode="External"/><Relationship Id="rId9" Type="http://schemas.openxmlformats.org/officeDocument/2006/relationships/hyperlink" Target="mailto:addiszelalem151@gmail.com" TargetMode="Externa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header" Target="header4.xml"/><Relationship Id="rId14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2023-09-27T06:23:10Z</dcterms:created>
  <dcterms:modified xsi:type="dcterms:W3CDTF">2023-09-27T06:23:10Z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2023-09-27T00:00:00Z</vt:filetime>
  </property>
</Properties>
</file>